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B7DD5" w14:textId="77777777" w:rsidR="00E90A4D" w:rsidRDefault="00E90A4D">
      <w:r>
        <w:t xml:space="preserve"> </w:t>
      </w:r>
    </w:p>
    <w:p w14:paraId="2B172C6C" w14:textId="77777777" w:rsidR="00543BA2" w:rsidRDefault="008D43C5">
      <w:r w:rsidRPr="00543BA2">
        <w:rPr>
          <w:rFonts w:ascii="NexusSans-Regular" w:hAnsi="NexusSans-Regular"/>
          <w:b/>
          <w:sz w:val="32"/>
        </w:rPr>
        <w:t>Merkblatt</w:t>
      </w:r>
    </w:p>
    <w:p w14:paraId="330FEF1F" w14:textId="77777777" w:rsidR="00E90A4D" w:rsidRPr="008D43C5" w:rsidRDefault="00E90A4D">
      <w:pPr>
        <w:rPr>
          <w:rFonts w:ascii="NexusSans-Regular" w:hAnsi="NexusSans-Regular"/>
          <w:b/>
          <w:sz w:val="28"/>
        </w:rPr>
      </w:pPr>
      <w:r w:rsidRPr="00E90A4D">
        <w:rPr>
          <w:rFonts w:ascii="NexusSans-Regular" w:hAnsi="NexusSans-Regular"/>
          <w:noProof/>
          <w:color w:val="99CC00"/>
          <w:sz w:val="56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5E9026" wp14:editId="44CCB85A">
                <wp:simplePos x="0" y="0"/>
                <wp:positionH relativeFrom="margin">
                  <wp:posOffset>34925</wp:posOffset>
                </wp:positionH>
                <wp:positionV relativeFrom="paragraph">
                  <wp:posOffset>123190</wp:posOffset>
                </wp:positionV>
                <wp:extent cx="397510" cy="627380"/>
                <wp:effectExtent l="0" t="0" r="0" b="12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627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703C0" w14:textId="77777777" w:rsidR="00E90A4D" w:rsidRPr="00543BA2" w:rsidRDefault="00951485">
                            <w:pPr>
                              <w:rPr>
                                <w:rFonts w:ascii="NexusSans-Regular" w:hAnsi="NexusSans-Regular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NexusSans-Regular" w:hAnsi="NexusSans-Regular"/>
                                <w:b/>
                                <w:color w:val="FFFFFF" w:themeColor="background1"/>
                                <w:sz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E902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.75pt;margin-top:9.7pt;width:31.3pt;height:4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" filled="f" stroked="f">
                <v:textbox>
                  <w:txbxContent>
                    <w:p w14:paraId="049703C0" w14:textId="77777777" w:rsidR="00E90A4D" w:rsidRPr="00543BA2" w:rsidRDefault="00951485">
                      <w:pPr>
                        <w:rPr>
                          <w:rFonts w:ascii="NexusSans-Regular" w:hAnsi="NexusSans-Regular"/>
                          <w:b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NexusSans-Regular" w:hAnsi="NexusSans-Regular"/>
                          <w:b/>
                          <w:color w:val="FFFFFF" w:themeColor="background1"/>
                          <w:sz w:val="72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554178" w14:textId="4B4296A3" w:rsidR="00E90A4D" w:rsidRDefault="00E90A4D">
      <w:pPr>
        <w:rPr>
          <w:rFonts w:ascii="NexusSans-Regular" w:hAnsi="NexusSans-Regular"/>
          <w:color w:val="808080" w:themeColor="background1" w:themeShade="80"/>
          <w:sz w:val="56"/>
        </w:rPr>
      </w:pPr>
      <w:r w:rsidRPr="00543BA2">
        <w:rPr>
          <w:noProof/>
          <w:color w:val="808080" w:themeColor="background1" w:themeShade="8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93786" wp14:editId="4E63FFEC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31800" cy="431800"/>
                <wp:effectExtent l="0" t="0" r="6350" b="63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FEA8A7" id="Ellipse 1" o:spid="_x0000_s1026" style="position:absolute;margin-left:0;margin-top:.65pt;width:34pt;height:3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" fillcolor="#7f7f7f [1612]" stroked="f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NexusSans-Regular" w:hAnsi="NexusSans-Regular"/>
          <w:color w:val="99CC00"/>
          <w:sz w:val="56"/>
        </w:rPr>
        <w:t xml:space="preserve"> </w:t>
      </w:r>
      <w:r w:rsidR="00543BA2" w:rsidRPr="00543BA2">
        <w:rPr>
          <w:rFonts w:ascii="NexusSans-Regular" w:hAnsi="NexusSans-Regular"/>
          <w:color w:val="808080" w:themeColor="background1" w:themeShade="80"/>
          <w:sz w:val="48"/>
        </w:rPr>
        <w:t xml:space="preserve">Förderlinie: </w:t>
      </w:r>
      <w:r w:rsidR="004038E7" w:rsidRPr="00C875F3">
        <w:rPr>
          <w:rFonts w:ascii="NexusSans-Regular" w:hAnsi="NexusSans-Regular"/>
          <w:color w:val="808080" w:themeColor="background1" w:themeShade="80"/>
          <w:sz w:val="48"/>
        </w:rPr>
        <w:t>TRANSFER</w:t>
      </w:r>
    </w:p>
    <w:p w14:paraId="4E31750C" w14:textId="08626FFF" w:rsidR="00611255" w:rsidRDefault="007E7476" w:rsidP="00DE5140">
      <w:pPr>
        <w:jc w:val="both"/>
        <w:rPr>
          <w:rFonts w:ascii="NexusSans-Regular" w:hAnsi="NexusSans-Regular" w:cs="Arial"/>
          <w:color w:val="000000" w:themeColor="text1"/>
          <w:sz w:val="20"/>
        </w:rPr>
      </w:pPr>
      <w:r>
        <w:rPr>
          <w:rFonts w:ascii="NexusSans-Regular" w:hAnsi="NexusSans-Regular" w:cs="Arial"/>
          <w:color w:val="000000" w:themeColor="text1"/>
          <w:sz w:val="20"/>
        </w:rPr>
        <w:t xml:space="preserve">Als Teil </w:t>
      </w:r>
      <w:r w:rsidRPr="00D1461F">
        <w:rPr>
          <w:rFonts w:ascii="NexusSans-Regular" w:hAnsi="NexusSans-Regular" w:cs="Arial"/>
          <w:color w:val="000000" w:themeColor="text1"/>
          <w:sz w:val="20"/>
        </w:rPr>
        <w:t>der integrierten Forschungsförderung</w:t>
      </w:r>
      <w:r>
        <w:rPr>
          <w:rFonts w:ascii="NexusSans-Regular" w:hAnsi="NexusSans-Regular" w:cs="Arial"/>
          <w:color w:val="000000" w:themeColor="text1"/>
          <w:sz w:val="20"/>
        </w:rPr>
        <w:t xml:space="preserve"> wird mit der</w:t>
      </w:r>
      <w:r w:rsidRPr="00D1461F">
        <w:rPr>
          <w:rFonts w:ascii="NexusSans-Regular" w:hAnsi="NexusSans-Regular" w:cs="Arial"/>
          <w:color w:val="000000" w:themeColor="text1"/>
          <w:sz w:val="20"/>
        </w:rPr>
        <w:t xml:space="preserve"> </w:t>
      </w:r>
      <w:r w:rsidR="00C875F3">
        <w:rPr>
          <w:rFonts w:ascii="NexusSans-Regular" w:hAnsi="NexusSans-Regular" w:cs="Arial"/>
          <w:color w:val="000000" w:themeColor="text1"/>
          <w:sz w:val="20"/>
        </w:rPr>
        <w:t>TRANSFER</w:t>
      </w:r>
      <w:r w:rsidRPr="00D1461F">
        <w:rPr>
          <w:rFonts w:ascii="NexusSans-Regular" w:hAnsi="NexusSans-Regular" w:cs="Arial"/>
          <w:color w:val="000000" w:themeColor="text1"/>
          <w:sz w:val="20"/>
        </w:rPr>
        <w:t xml:space="preserve">-Förderung </w:t>
      </w:r>
      <w:r>
        <w:rPr>
          <w:rFonts w:ascii="NexusSans-Regular" w:hAnsi="NexusSans-Regular" w:cs="Arial"/>
          <w:color w:val="000000" w:themeColor="text1"/>
          <w:sz w:val="20"/>
        </w:rPr>
        <w:t xml:space="preserve">eine </w:t>
      </w:r>
      <w:r w:rsidRPr="00D1461F">
        <w:rPr>
          <w:rFonts w:ascii="NexusSans-Regular" w:hAnsi="NexusSans-Regular" w:cs="Arial"/>
          <w:color w:val="000000" w:themeColor="text1"/>
          <w:sz w:val="20"/>
        </w:rPr>
        <w:t>Mögl</w:t>
      </w:r>
      <w:r>
        <w:rPr>
          <w:rFonts w:ascii="NexusSans-Regular" w:hAnsi="NexusSans-Regular" w:cs="Arial"/>
          <w:color w:val="000000" w:themeColor="text1"/>
          <w:sz w:val="20"/>
        </w:rPr>
        <w:t xml:space="preserve">ichkeit </w:t>
      </w:r>
      <w:r w:rsidR="00C66F4D">
        <w:rPr>
          <w:rFonts w:ascii="NexusSans-Regular" w:hAnsi="NexusSans-Regular" w:cs="Arial"/>
          <w:color w:val="000000" w:themeColor="text1"/>
          <w:sz w:val="20"/>
        </w:rPr>
        <w:t>geboten</w:t>
      </w:r>
      <w:r w:rsidR="00011816">
        <w:rPr>
          <w:rFonts w:ascii="NexusSans-Regular" w:hAnsi="NexusSans-Regular" w:cs="Arial"/>
          <w:color w:val="000000" w:themeColor="text1"/>
          <w:sz w:val="20"/>
        </w:rPr>
        <w:t>,</w:t>
      </w:r>
      <w:r w:rsidRPr="00D1461F">
        <w:rPr>
          <w:rFonts w:ascii="NexusSans-Regular" w:hAnsi="NexusSans-Regular" w:cs="Arial"/>
          <w:color w:val="000000" w:themeColor="text1"/>
          <w:sz w:val="20"/>
        </w:rPr>
        <w:t xml:space="preserve"> Forschungsergebnisse </w:t>
      </w:r>
      <w:r w:rsidR="00DE5140">
        <w:rPr>
          <w:rFonts w:ascii="NexusSans-Regular" w:hAnsi="NexusSans-Regular" w:cs="Arial"/>
          <w:color w:val="000000" w:themeColor="text1"/>
          <w:sz w:val="20"/>
        </w:rPr>
        <w:t xml:space="preserve">in Hinblick auf ihren Transfer in die praktische Nutzung </w:t>
      </w:r>
      <w:r w:rsidRPr="00D1461F">
        <w:rPr>
          <w:rFonts w:ascii="NexusSans-Regular" w:hAnsi="NexusSans-Regular" w:cs="Arial"/>
          <w:color w:val="000000" w:themeColor="text1"/>
          <w:sz w:val="20"/>
        </w:rPr>
        <w:t>zu validieren und</w:t>
      </w:r>
      <w:r w:rsidR="00DE5140">
        <w:rPr>
          <w:rFonts w:ascii="NexusSans-Regular" w:hAnsi="NexusSans-Regular" w:cs="Arial"/>
          <w:color w:val="000000" w:themeColor="text1"/>
          <w:sz w:val="20"/>
        </w:rPr>
        <w:t>/oder</w:t>
      </w:r>
      <w:r w:rsidRPr="00D1461F">
        <w:rPr>
          <w:rFonts w:ascii="NexusSans-Regular" w:hAnsi="NexusSans-Regular" w:cs="Arial"/>
          <w:color w:val="000000" w:themeColor="text1"/>
          <w:sz w:val="20"/>
        </w:rPr>
        <w:t xml:space="preserve"> </w:t>
      </w:r>
      <w:r>
        <w:rPr>
          <w:rFonts w:ascii="NexusSans-Regular" w:hAnsi="NexusSans-Regular" w:cs="Arial"/>
          <w:color w:val="000000" w:themeColor="text1"/>
          <w:sz w:val="20"/>
        </w:rPr>
        <w:t>eine</w:t>
      </w:r>
      <w:r w:rsidRPr="00D1461F">
        <w:rPr>
          <w:rFonts w:ascii="NexusSans-Regular" w:hAnsi="NexusSans-Regular" w:cs="Arial"/>
          <w:color w:val="000000" w:themeColor="text1"/>
          <w:sz w:val="20"/>
        </w:rPr>
        <w:t xml:space="preserve"> wirtschaftliche Verwertung </w:t>
      </w:r>
      <w:r>
        <w:rPr>
          <w:rFonts w:ascii="NexusSans-Regular" w:hAnsi="NexusSans-Regular" w:cs="Arial"/>
          <w:color w:val="000000" w:themeColor="text1"/>
          <w:sz w:val="20"/>
        </w:rPr>
        <w:t>vorzubereiten</w:t>
      </w:r>
      <w:r w:rsidRPr="00D1461F">
        <w:rPr>
          <w:rFonts w:ascii="NexusSans-Regular" w:hAnsi="NexusSans-Regular" w:cs="Arial"/>
          <w:color w:val="000000" w:themeColor="text1"/>
          <w:sz w:val="20"/>
        </w:rPr>
        <w:t xml:space="preserve">. </w:t>
      </w:r>
      <w:r w:rsidR="001352F4">
        <w:rPr>
          <w:rFonts w:ascii="NexusSans-Regular" w:hAnsi="NexusSans-Regular" w:cs="Arial"/>
          <w:color w:val="000000" w:themeColor="text1"/>
          <w:sz w:val="20"/>
        </w:rPr>
        <w:t>Der</w:t>
      </w:r>
      <w:r w:rsidR="00F254F9" w:rsidRPr="00D1461F">
        <w:rPr>
          <w:rFonts w:ascii="NexusSans-Regular" w:hAnsi="NexusSans-Regular" w:cs="Arial"/>
          <w:color w:val="000000" w:themeColor="text1"/>
          <w:sz w:val="20"/>
        </w:rPr>
        <w:t xml:space="preserve"> </w:t>
      </w:r>
      <w:r w:rsidR="00C66F4D">
        <w:rPr>
          <w:rFonts w:ascii="NexusSans-Regular" w:hAnsi="NexusSans-Regular" w:cs="Arial"/>
          <w:color w:val="000000" w:themeColor="text1"/>
          <w:sz w:val="20"/>
        </w:rPr>
        <w:t>Transfer</w:t>
      </w:r>
      <w:r w:rsidR="001352F4">
        <w:rPr>
          <w:rFonts w:ascii="NexusSans-Regular" w:hAnsi="NexusSans-Regular" w:cs="Arial"/>
          <w:color w:val="000000" w:themeColor="text1"/>
          <w:sz w:val="20"/>
        </w:rPr>
        <w:t>ausschuss</w:t>
      </w:r>
      <w:r w:rsidR="00F254F9" w:rsidRPr="00D1461F">
        <w:rPr>
          <w:rFonts w:ascii="NexusSans-Regular" w:hAnsi="NexusSans-Regular" w:cs="Arial"/>
          <w:color w:val="000000" w:themeColor="text1"/>
          <w:sz w:val="20"/>
        </w:rPr>
        <w:t xml:space="preserve"> vergibt </w:t>
      </w:r>
      <w:r w:rsidR="006032D0">
        <w:rPr>
          <w:rFonts w:ascii="NexusSans-Regular" w:hAnsi="NexusSans-Regular" w:cs="Arial"/>
          <w:color w:val="000000" w:themeColor="text1"/>
          <w:sz w:val="20"/>
        </w:rPr>
        <w:t xml:space="preserve">in </w:t>
      </w:r>
      <w:r w:rsidR="00061C6F">
        <w:rPr>
          <w:rFonts w:ascii="NexusSans-Regular" w:hAnsi="NexusSans-Regular" w:cs="Arial"/>
          <w:color w:val="000000" w:themeColor="text1"/>
          <w:sz w:val="20"/>
        </w:rPr>
        <w:t>der Förderlinie TRANSFER</w:t>
      </w:r>
      <w:r w:rsidR="006032D0">
        <w:rPr>
          <w:rFonts w:ascii="NexusSans-Regular" w:hAnsi="NexusSans-Regular" w:cs="Arial"/>
          <w:color w:val="000000" w:themeColor="text1"/>
          <w:sz w:val="20"/>
        </w:rPr>
        <w:t xml:space="preserve"> </w:t>
      </w:r>
      <w:r w:rsidR="00F254F9" w:rsidRPr="00D1461F">
        <w:rPr>
          <w:rFonts w:ascii="NexusSans-Regular" w:hAnsi="NexusSans-Regular" w:cs="Arial"/>
          <w:color w:val="000000" w:themeColor="text1"/>
          <w:sz w:val="20"/>
        </w:rPr>
        <w:t xml:space="preserve">Initiativmittel zur </w:t>
      </w:r>
      <w:r w:rsidR="0069760A" w:rsidRPr="00D1461F">
        <w:rPr>
          <w:rFonts w:ascii="NexusSans-Regular" w:hAnsi="NexusSans-Regular" w:cs="Arial"/>
          <w:color w:val="000000" w:themeColor="text1"/>
          <w:sz w:val="20"/>
        </w:rPr>
        <w:t>Weiterentwicklung von IP-basierten Techno</w:t>
      </w:r>
      <w:r>
        <w:rPr>
          <w:rFonts w:ascii="NexusSans-Regular" w:hAnsi="NexusSans-Regular" w:cs="Arial"/>
          <w:color w:val="000000" w:themeColor="text1"/>
          <w:sz w:val="20"/>
        </w:rPr>
        <w:t xml:space="preserve">logien, </w:t>
      </w:r>
      <w:r w:rsidR="00DE5140">
        <w:rPr>
          <w:rFonts w:ascii="NexusSans-Regular" w:hAnsi="NexusSans-Regular" w:cs="Arial"/>
          <w:color w:val="000000" w:themeColor="text1"/>
          <w:sz w:val="20"/>
        </w:rPr>
        <w:t>insbesondere</w:t>
      </w:r>
      <w:r w:rsidR="008D43C5">
        <w:rPr>
          <w:rFonts w:ascii="NexusSans-Regular" w:hAnsi="NexusSans-Regular" w:cs="Arial"/>
          <w:color w:val="000000" w:themeColor="text1"/>
          <w:sz w:val="20"/>
        </w:rPr>
        <w:t xml:space="preserve"> </w:t>
      </w:r>
      <w:r w:rsidR="00DE5140">
        <w:rPr>
          <w:rFonts w:ascii="NexusSans-Regular" w:hAnsi="NexusSans-Regular" w:cs="Arial"/>
          <w:color w:val="000000" w:themeColor="text1"/>
          <w:sz w:val="20"/>
        </w:rPr>
        <w:t xml:space="preserve">technische Schutzrechte (v.a. </w:t>
      </w:r>
      <w:r w:rsidR="008D43C5">
        <w:rPr>
          <w:rFonts w:ascii="NexusSans-Regular" w:hAnsi="NexusSans-Regular" w:cs="Arial"/>
          <w:color w:val="000000" w:themeColor="text1"/>
          <w:sz w:val="20"/>
        </w:rPr>
        <w:t>Patent</w:t>
      </w:r>
      <w:r w:rsidR="00DE5140">
        <w:rPr>
          <w:rFonts w:ascii="NexusSans-Regular" w:hAnsi="NexusSans-Regular" w:cs="Arial"/>
          <w:color w:val="000000" w:themeColor="text1"/>
          <w:sz w:val="20"/>
        </w:rPr>
        <w:t>e und -</w:t>
      </w:r>
      <w:r w:rsidR="008D43C5">
        <w:rPr>
          <w:rFonts w:ascii="NexusSans-Regular" w:hAnsi="NexusSans-Regular" w:cs="Arial"/>
          <w:color w:val="000000" w:themeColor="text1"/>
          <w:sz w:val="20"/>
        </w:rPr>
        <w:t>anmeldungen</w:t>
      </w:r>
      <w:r w:rsidR="00DE5140">
        <w:rPr>
          <w:rFonts w:ascii="NexusSans-Regular" w:hAnsi="NexusSans-Regular" w:cs="Arial"/>
          <w:color w:val="000000" w:themeColor="text1"/>
          <w:sz w:val="20"/>
        </w:rPr>
        <w:t>)</w:t>
      </w:r>
      <w:r w:rsidR="0069760A" w:rsidRPr="00D1461F">
        <w:rPr>
          <w:rFonts w:ascii="NexusSans-Regular" w:hAnsi="NexusSans-Regular" w:cs="Arial"/>
          <w:color w:val="000000" w:themeColor="text1"/>
          <w:sz w:val="20"/>
        </w:rPr>
        <w:t>, urheberrechtlich gesc</w:t>
      </w:r>
      <w:r w:rsidR="008D43C5">
        <w:rPr>
          <w:rFonts w:ascii="NexusSans-Regular" w:hAnsi="NexusSans-Regular" w:cs="Arial"/>
          <w:color w:val="000000" w:themeColor="text1"/>
          <w:sz w:val="20"/>
        </w:rPr>
        <w:t xml:space="preserve">hützte Werke und Software, Know-how / </w:t>
      </w:r>
      <w:r w:rsidR="0069760A" w:rsidRPr="00D1461F">
        <w:rPr>
          <w:rFonts w:ascii="NexusSans-Regular" w:hAnsi="NexusSans-Regular" w:cs="Arial"/>
          <w:color w:val="000000" w:themeColor="text1"/>
          <w:sz w:val="20"/>
        </w:rPr>
        <w:t>Know-how-basiertes Material</w:t>
      </w:r>
      <w:r w:rsidR="00DE5140">
        <w:rPr>
          <w:rFonts w:ascii="NexusSans-Regular" w:hAnsi="NexusSans-Regular" w:cs="Arial"/>
          <w:color w:val="000000" w:themeColor="text1"/>
          <w:sz w:val="20"/>
        </w:rPr>
        <w:t xml:space="preserve"> </w:t>
      </w:r>
      <w:r w:rsidR="0069760A" w:rsidRPr="00D1461F">
        <w:rPr>
          <w:rFonts w:ascii="NexusSans-Regular" w:hAnsi="NexusSans-Regular" w:cs="Arial"/>
          <w:color w:val="000000" w:themeColor="text1"/>
          <w:sz w:val="20"/>
        </w:rPr>
        <w:footnoteReference w:id="1"/>
      </w:r>
      <w:r w:rsidR="008D43C5">
        <w:rPr>
          <w:rFonts w:ascii="NexusSans-Regular" w:hAnsi="NexusSans-Regular" w:cs="Arial"/>
          <w:color w:val="000000" w:themeColor="text1"/>
          <w:sz w:val="20"/>
        </w:rPr>
        <w:t>)</w:t>
      </w:r>
      <w:r w:rsidR="00DE5140">
        <w:rPr>
          <w:rFonts w:ascii="NexusSans-Regular" w:hAnsi="NexusSans-Regular" w:cs="Arial"/>
          <w:color w:val="000000" w:themeColor="text1"/>
          <w:sz w:val="20"/>
        </w:rPr>
        <w:t>, um</w:t>
      </w:r>
      <w:r w:rsidR="00DE5140" w:rsidRPr="00DE5140">
        <w:rPr>
          <w:rFonts w:ascii="NexusSans-Regular" w:hAnsi="NexusSans-Regular" w:cs="Arial"/>
          <w:color w:val="000000" w:themeColor="text1"/>
          <w:sz w:val="20"/>
        </w:rPr>
        <w:t xml:space="preserve"> </w:t>
      </w:r>
      <w:r w:rsidR="00DE5140" w:rsidRPr="00D1461F">
        <w:rPr>
          <w:rFonts w:ascii="NexusSans-Regular" w:hAnsi="NexusSans-Regular" w:cs="Arial"/>
          <w:color w:val="000000" w:themeColor="text1"/>
          <w:sz w:val="20"/>
        </w:rPr>
        <w:t>den Lückenschluss zwischen Grundlagenforschung und Anwendung</w:t>
      </w:r>
      <w:r w:rsidR="00DE5140">
        <w:rPr>
          <w:rFonts w:ascii="NexusSans-Regular" w:hAnsi="NexusSans-Regular" w:cs="Arial"/>
          <w:color w:val="000000" w:themeColor="text1"/>
          <w:sz w:val="20"/>
        </w:rPr>
        <w:t xml:space="preserve"> zum Nutzen der Gesellschaft zu erleichtern</w:t>
      </w:r>
      <w:r w:rsidR="0069760A" w:rsidRPr="00D1461F">
        <w:rPr>
          <w:rFonts w:ascii="NexusSans-Regular" w:hAnsi="NexusSans-Regular" w:cs="Arial"/>
          <w:color w:val="000000" w:themeColor="text1"/>
          <w:sz w:val="20"/>
        </w:rPr>
        <w:t xml:space="preserve">. </w:t>
      </w:r>
      <w:r w:rsidR="0003792E">
        <w:rPr>
          <w:rFonts w:ascii="NexusSans-Regular" w:hAnsi="NexusSans-Regular" w:cs="Arial"/>
          <w:color w:val="000000" w:themeColor="text1"/>
          <w:sz w:val="20"/>
        </w:rPr>
        <w:t>Neb</w:t>
      </w:r>
      <w:r w:rsidR="00011816">
        <w:rPr>
          <w:rFonts w:ascii="NexusSans-Regular" w:hAnsi="NexusSans-Regular" w:cs="Arial"/>
          <w:color w:val="000000" w:themeColor="text1"/>
          <w:sz w:val="20"/>
        </w:rPr>
        <w:t>en der Patentanmeldung sind zudem</w:t>
      </w:r>
      <w:r w:rsidR="0003792E">
        <w:rPr>
          <w:rFonts w:ascii="NexusSans-Regular" w:hAnsi="NexusSans-Regular" w:cs="Arial"/>
          <w:color w:val="000000" w:themeColor="text1"/>
          <w:sz w:val="20"/>
        </w:rPr>
        <w:t xml:space="preserve"> Marktrecherchen, Wettbewerbsanalysen sowie die Erstellung von Prototypen förderfähig. </w:t>
      </w:r>
      <w:r w:rsidR="00D1461F">
        <w:rPr>
          <w:rFonts w:ascii="NexusSans-Regular" w:hAnsi="NexusSans-Regular" w:cs="Arial"/>
          <w:color w:val="000000" w:themeColor="text1"/>
          <w:sz w:val="20"/>
        </w:rPr>
        <w:t xml:space="preserve">Die Förderung </w:t>
      </w:r>
      <w:r w:rsidR="00D1461F" w:rsidRPr="00D1461F">
        <w:rPr>
          <w:rFonts w:ascii="NexusSans-Regular" w:hAnsi="NexusSans-Regular" w:cs="Arial"/>
          <w:color w:val="000000" w:themeColor="text1"/>
          <w:sz w:val="20"/>
        </w:rPr>
        <w:t>hat die Einwerbung von Drittmitteln (öffentliche</w:t>
      </w:r>
      <w:r w:rsidR="00DE5140">
        <w:rPr>
          <w:rFonts w:ascii="NexusSans-Regular" w:hAnsi="NexusSans-Regular" w:cs="Arial"/>
          <w:color w:val="000000" w:themeColor="text1"/>
          <w:sz w:val="20"/>
        </w:rPr>
        <w:t xml:space="preserve"> anwendungs-/verwertungsnahe</w:t>
      </w:r>
      <w:r w:rsidR="00D1461F" w:rsidRPr="00D1461F">
        <w:rPr>
          <w:rFonts w:ascii="NexusSans-Regular" w:hAnsi="NexusSans-Regular" w:cs="Arial"/>
          <w:color w:val="000000" w:themeColor="text1"/>
          <w:sz w:val="20"/>
        </w:rPr>
        <w:t xml:space="preserve"> Förderprogramme, Auftragsforschung mit Unternehmen), </w:t>
      </w:r>
      <w:r w:rsidR="008D43C5">
        <w:rPr>
          <w:rFonts w:ascii="NexusSans-Regular" w:hAnsi="NexusSans-Regular" w:cs="Arial"/>
          <w:color w:val="000000" w:themeColor="text1"/>
          <w:sz w:val="20"/>
        </w:rPr>
        <w:t>und/oder</w:t>
      </w:r>
      <w:r w:rsidR="00D1461F" w:rsidRPr="00D1461F">
        <w:rPr>
          <w:rFonts w:ascii="NexusSans-Regular" w:hAnsi="NexusSans-Regular" w:cs="Arial"/>
          <w:color w:val="000000" w:themeColor="text1"/>
          <w:sz w:val="20"/>
        </w:rPr>
        <w:t xml:space="preserve"> die mittelfristige Generierung von Einnahmen durch IP-Verwertung</w:t>
      </w:r>
      <w:r w:rsidR="00DE5140">
        <w:rPr>
          <w:rFonts w:ascii="NexusSans-Regular" w:hAnsi="NexusSans-Regular" w:cs="Arial"/>
          <w:color w:val="000000" w:themeColor="text1"/>
          <w:sz w:val="20"/>
        </w:rPr>
        <w:t>, auch durch</w:t>
      </w:r>
      <w:r w:rsidR="00DE5140" w:rsidRPr="00D1461F">
        <w:rPr>
          <w:rFonts w:ascii="NexusSans-Regular" w:hAnsi="NexusSans-Regular" w:cs="Arial"/>
          <w:color w:val="000000" w:themeColor="text1"/>
          <w:sz w:val="20"/>
        </w:rPr>
        <w:t xml:space="preserve"> </w:t>
      </w:r>
      <w:r w:rsidR="00DE5140">
        <w:rPr>
          <w:rFonts w:ascii="NexusSans-Regular" w:hAnsi="NexusSans-Regular" w:cs="Arial"/>
          <w:color w:val="000000" w:themeColor="text1"/>
          <w:sz w:val="20"/>
        </w:rPr>
        <w:t xml:space="preserve">forschungsbasierte </w:t>
      </w:r>
      <w:r w:rsidR="00DE5140" w:rsidRPr="00D1461F">
        <w:rPr>
          <w:rFonts w:ascii="NexusSans-Regular" w:hAnsi="NexusSans-Regular" w:cs="Arial"/>
          <w:color w:val="000000" w:themeColor="text1"/>
          <w:sz w:val="20"/>
        </w:rPr>
        <w:t>Ausgründungen</w:t>
      </w:r>
      <w:r w:rsidR="00DE5140">
        <w:rPr>
          <w:rFonts w:ascii="NexusSans-Regular" w:hAnsi="NexusSans-Regular" w:cs="Arial"/>
          <w:color w:val="000000" w:themeColor="text1"/>
          <w:sz w:val="20"/>
        </w:rPr>
        <w:t>,</w:t>
      </w:r>
      <w:r w:rsidR="00DE5140" w:rsidRPr="00D1461F">
        <w:rPr>
          <w:rFonts w:ascii="NexusSans-Regular" w:hAnsi="NexusSans-Regular" w:cs="Arial"/>
          <w:color w:val="000000" w:themeColor="text1"/>
          <w:sz w:val="20"/>
        </w:rPr>
        <w:t xml:space="preserve"> </w:t>
      </w:r>
      <w:r w:rsidR="00D1461F" w:rsidRPr="00D1461F">
        <w:rPr>
          <w:rFonts w:ascii="NexusSans-Regular" w:hAnsi="NexusSans-Regular" w:cs="Arial"/>
          <w:color w:val="000000" w:themeColor="text1"/>
          <w:sz w:val="20"/>
        </w:rPr>
        <w:t>zum Ziel.</w:t>
      </w:r>
      <w:r w:rsidR="00F81371">
        <w:rPr>
          <w:rFonts w:ascii="NexusSans-Regular" w:hAnsi="NexusSans-Regular" w:cs="Arial"/>
          <w:color w:val="000000" w:themeColor="text1"/>
          <w:sz w:val="20"/>
        </w:rPr>
        <w:t xml:space="preserve"> </w:t>
      </w:r>
      <w:r w:rsidR="00611255">
        <w:rPr>
          <w:rFonts w:ascii="NexusSans-Regular" w:hAnsi="NexusSans-Regular" w:cs="Arial"/>
          <w:color w:val="000000" w:themeColor="text1"/>
          <w:sz w:val="20"/>
        </w:rPr>
        <w:t>Die Förderlinie unterstützt sowohl technische als auch soziale Innovationen. S</w:t>
      </w:r>
      <w:r w:rsidR="00611255" w:rsidRPr="00611255">
        <w:rPr>
          <w:rFonts w:ascii="NexusSans-Regular" w:hAnsi="NexusSans-Regular" w:cs="Arial"/>
          <w:color w:val="000000" w:themeColor="text1"/>
          <w:sz w:val="20"/>
        </w:rPr>
        <w:t xml:space="preserve">oziale Innovationen umfassen neue soziale Praktiken und Organisationsmodelle, die darauf abzielen, für die Herausforderungen unserer Gesellschaft tragfähige und nachhaltige Lösungen zu finden. </w:t>
      </w:r>
      <w:r w:rsidR="00E96E9C">
        <w:rPr>
          <w:rFonts w:ascii="NexusSans-Regular" w:hAnsi="NexusSans-Regular" w:cs="Arial"/>
          <w:color w:val="000000" w:themeColor="text1"/>
          <w:sz w:val="20"/>
        </w:rPr>
        <w:t xml:space="preserve">Beispiele aus diesem Bereich sind Mehrgenerationenhäuser, Carsharing, Mehrweggeschirr. </w:t>
      </w:r>
    </w:p>
    <w:p w14:paraId="5BA91F19" w14:textId="66448BD3" w:rsidR="00E82061" w:rsidRDefault="00C601C7" w:rsidP="00DE5140">
      <w:pPr>
        <w:jc w:val="both"/>
        <w:rPr>
          <w:rFonts w:ascii="NexusSans-Regular" w:hAnsi="NexusSans-Regular" w:cs="Arial"/>
          <w:color w:val="000000" w:themeColor="text1"/>
          <w:sz w:val="20"/>
        </w:rPr>
      </w:pPr>
      <w:r>
        <w:rPr>
          <w:rFonts w:ascii="NexusSans-Regular" w:hAnsi="NexusSans-Regular" w:cs="Arial"/>
          <w:color w:val="000000" w:themeColor="text1"/>
          <w:sz w:val="20"/>
        </w:rPr>
        <w:t xml:space="preserve">Fester Bestandteil der Förderlinie ist das verpflichtende Modul Coaching, das den Fokus </w:t>
      </w:r>
      <w:r w:rsidR="00D1461F" w:rsidRPr="00D1461F">
        <w:rPr>
          <w:rFonts w:ascii="NexusSans-Regular" w:hAnsi="NexusSans-Regular" w:cs="Arial"/>
          <w:color w:val="000000" w:themeColor="text1"/>
          <w:sz w:val="20"/>
        </w:rPr>
        <w:t>auf die Entwicklung der unternehmerischen Kompetenzen der beteiligten Wissenschaftler</w:t>
      </w:r>
      <w:r w:rsidR="0003792E">
        <w:rPr>
          <w:rFonts w:ascii="NexusSans-Regular" w:hAnsi="NexusSans-Regular" w:cs="Arial"/>
          <w:color w:val="000000" w:themeColor="text1"/>
          <w:sz w:val="20"/>
        </w:rPr>
        <w:t>*</w:t>
      </w:r>
      <w:r w:rsidR="00054F24">
        <w:rPr>
          <w:rFonts w:ascii="NexusSans-Regular" w:hAnsi="NexusSans-Regular" w:cs="Arial"/>
          <w:color w:val="000000" w:themeColor="text1"/>
          <w:sz w:val="20"/>
        </w:rPr>
        <w:t>i</w:t>
      </w:r>
      <w:r w:rsidR="00D1461F">
        <w:rPr>
          <w:rFonts w:ascii="NexusSans-Regular" w:hAnsi="NexusSans-Regular" w:cs="Arial"/>
          <w:color w:val="000000" w:themeColor="text1"/>
          <w:sz w:val="20"/>
        </w:rPr>
        <w:t>nnen</w:t>
      </w:r>
      <w:r w:rsidR="005B7C70">
        <w:rPr>
          <w:rFonts w:ascii="NexusSans-Regular" w:hAnsi="NexusSans-Regular" w:cs="Arial"/>
          <w:color w:val="000000" w:themeColor="text1"/>
          <w:sz w:val="20"/>
        </w:rPr>
        <w:t xml:space="preserve"> durch ein begleitendes Coaching</w:t>
      </w:r>
      <w:r>
        <w:rPr>
          <w:rFonts w:ascii="NexusSans-Regular" w:hAnsi="NexusSans-Regular" w:cs="Arial"/>
          <w:color w:val="000000" w:themeColor="text1"/>
          <w:sz w:val="20"/>
        </w:rPr>
        <w:t>,</w:t>
      </w:r>
      <w:r w:rsidR="00B36BCB">
        <w:rPr>
          <w:rFonts w:ascii="NexusSans-Regular" w:hAnsi="NexusSans-Regular" w:cs="Arial"/>
          <w:color w:val="000000" w:themeColor="text1"/>
          <w:sz w:val="20"/>
        </w:rPr>
        <w:t xml:space="preserve"> Fortbildung</w:t>
      </w:r>
      <w:r>
        <w:rPr>
          <w:rFonts w:ascii="NexusSans-Regular" w:hAnsi="NexusSans-Regular" w:cs="Arial"/>
          <w:color w:val="000000" w:themeColor="text1"/>
          <w:sz w:val="20"/>
        </w:rPr>
        <w:t xml:space="preserve"> oder Workshops legt</w:t>
      </w:r>
      <w:r w:rsidR="00D1461F" w:rsidRPr="00D1461F">
        <w:rPr>
          <w:rFonts w:ascii="NexusSans-Regular" w:hAnsi="NexusSans-Regular" w:cs="Arial"/>
          <w:color w:val="000000" w:themeColor="text1"/>
          <w:sz w:val="20"/>
        </w:rPr>
        <w:t xml:space="preserve">. </w:t>
      </w:r>
    </w:p>
    <w:p w14:paraId="25C56190" w14:textId="77777777" w:rsidR="00607FCC" w:rsidRPr="00607FCC" w:rsidRDefault="00560CD6" w:rsidP="00AA25C0">
      <w:pPr>
        <w:spacing w:before="360"/>
        <w:rPr>
          <w:rFonts w:ascii="NexusSans-Regular" w:hAnsi="NexusSans-Regular" w:cs="Arial"/>
          <w:b/>
          <w:color w:val="000000" w:themeColor="text1"/>
          <w:sz w:val="20"/>
        </w:rPr>
      </w:pPr>
      <w:r>
        <w:rPr>
          <w:rFonts w:ascii="NexusSans-Regular" w:hAnsi="NexusSans-Regular" w:cs="Arial"/>
          <w:b/>
          <w:color w:val="000000" w:themeColor="text1"/>
          <w:sz w:val="20"/>
        </w:rPr>
        <w:t>Antragsvolumen</w:t>
      </w:r>
    </w:p>
    <w:p w14:paraId="203C9919" w14:textId="724D57AB" w:rsidR="00607FCC" w:rsidRPr="00607FCC" w:rsidRDefault="006A38B3">
      <w:pPr>
        <w:rPr>
          <w:rFonts w:ascii="NexusSans-Regular" w:hAnsi="NexusSans-Regular" w:cs="Arial"/>
          <w:color w:val="000000" w:themeColor="text1"/>
          <w:sz w:val="20"/>
        </w:rPr>
      </w:pPr>
      <w:r w:rsidRPr="006A38B3">
        <w:rPr>
          <w:rFonts w:ascii="NexusSans-Regular" w:hAnsi="NexusSans-Regular" w:cs="Arial"/>
          <w:color w:val="000000" w:themeColor="text1"/>
          <w:sz w:val="20"/>
        </w:rPr>
        <w:t xml:space="preserve">Bis zu </w:t>
      </w:r>
      <w:r w:rsidR="000300BC">
        <w:rPr>
          <w:rFonts w:ascii="NexusSans-Regular" w:hAnsi="NexusSans-Regular" w:cs="Arial"/>
          <w:color w:val="000000" w:themeColor="text1"/>
          <w:sz w:val="20"/>
        </w:rPr>
        <w:t>40.</w:t>
      </w:r>
      <w:r w:rsidR="00607FCC" w:rsidRPr="006A38B3">
        <w:rPr>
          <w:rFonts w:ascii="NexusSans-Regular" w:hAnsi="NexusSans-Regular" w:cs="Arial"/>
          <w:color w:val="000000" w:themeColor="text1"/>
          <w:sz w:val="20"/>
        </w:rPr>
        <w:t>000 €</w:t>
      </w:r>
      <w:r>
        <w:rPr>
          <w:rFonts w:ascii="NexusSans-Regular" w:hAnsi="NexusSans-Regular" w:cs="Arial"/>
          <w:color w:val="000000" w:themeColor="text1"/>
          <w:sz w:val="20"/>
        </w:rPr>
        <w:t>,</w:t>
      </w:r>
      <w:r w:rsidR="00607FCC" w:rsidRPr="006A38B3">
        <w:rPr>
          <w:rFonts w:ascii="NexusSans-Regular" w:hAnsi="NexusSans-Regular" w:cs="Arial"/>
          <w:color w:val="000000" w:themeColor="text1"/>
          <w:sz w:val="20"/>
        </w:rPr>
        <w:t xml:space="preserve"> einmalig</w:t>
      </w:r>
      <w:r>
        <w:rPr>
          <w:rFonts w:ascii="NexusSans-Regular" w:hAnsi="NexusSans-Regular" w:cs="Arial"/>
          <w:color w:val="000000" w:themeColor="text1"/>
          <w:sz w:val="20"/>
        </w:rPr>
        <w:t>.</w:t>
      </w:r>
      <w:r w:rsidR="007E7476">
        <w:rPr>
          <w:rFonts w:ascii="NexusSans-Regular" w:hAnsi="NexusSans-Regular" w:cs="Arial"/>
          <w:color w:val="000000" w:themeColor="text1"/>
          <w:sz w:val="20"/>
        </w:rPr>
        <w:t xml:space="preserve"> </w:t>
      </w:r>
    </w:p>
    <w:p w14:paraId="22FDA759" w14:textId="77777777" w:rsidR="004F028B" w:rsidRPr="00607FCC" w:rsidRDefault="004F028B" w:rsidP="004F028B">
      <w:pPr>
        <w:spacing w:before="360"/>
        <w:rPr>
          <w:rFonts w:ascii="NexusSans-Regular" w:hAnsi="NexusSans-Regular" w:cs="Arial"/>
          <w:b/>
          <w:color w:val="000000" w:themeColor="text1"/>
          <w:sz w:val="20"/>
        </w:rPr>
      </w:pPr>
      <w:r>
        <w:rPr>
          <w:rFonts w:ascii="NexusSans-Regular" w:hAnsi="NexusSans-Regular" w:cs="Arial"/>
          <w:b/>
          <w:color w:val="000000" w:themeColor="text1"/>
          <w:sz w:val="20"/>
        </w:rPr>
        <w:t>Mittelverwendung</w:t>
      </w:r>
    </w:p>
    <w:p w14:paraId="3B7B2F10" w14:textId="1213A5E0" w:rsidR="00D2238A" w:rsidRDefault="00061C6F" w:rsidP="004F028B">
      <w:pPr>
        <w:jc w:val="both"/>
        <w:rPr>
          <w:rFonts w:ascii="NexusSans-Regular" w:hAnsi="NexusSans-Regular" w:cs="Arial"/>
          <w:color w:val="000000" w:themeColor="text1"/>
          <w:sz w:val="20"/>
        </w:rPr>
      </w:pPr>
      <w:r>
        <w:rPr>
          <w:rFonts w:ascii="NexusSans-Regular" w:hAnsi="NexusSans-Regular" w:cs="Arial"/>
          <w:color w:val="000000" w:themeColor="text1"/>
          <w:sz w:val="20"/>
        </w:rPr>
        <w:t>Die</w:t>
      </w:r>
      <w:r w:rsidR="00BA7333">
        <w:rPr>
          <w:rFonts w:ascii="NexusSans-Regular" w:hAnsi="NexusSans-Regular" w:cs="Arial"/>
          <w:color w:val="000000" w:themeColor="text1"/>
          <w:sz w:val="20"/>
        </w:rPr>
        <w:t xml:space="preserve"> folgenden Module </w:t>
      </w:r>
      <w:r>
        <w:rPr>
          <w:rFonts w:ascii="NexusSans-Regular" w:hAnsi="NexusSans-Regular" w:cs="Arial"/>
          <w:color w:val="000000" w:themeColor="text1"/>
          <w:sz w:val="20"/>
        </w:rPr>
        <w:t xml:space="preserve">können </w:t>
      </w:r>
      <w:r w:rsidR="00D2238A">
        <w:rPr>
          <w:rFonts w:ascii="NexusSans-Regular" w:hAnsi="NexusSans-Regular" w:cs="Arial"/>
          <w:color w:val="000000" w:themeColor="text1"/>
          <w:sz w:val="20"/>
        </w:rPr>
        <w:t>beantragt werden (vgl. ergänzende Merkblätter zu den Modulen):</w:t>
      </w:r>
    </w:p>
    <w:p w14:paraId="7024B75B" w14:textId="77777777" w:rsidR="00D2238A" w:rsidRDefault="00D2238A" w:rsidP="00D2238A">
      <w:pPr>
        <w:pStyle w:val="Listenabsatz"/>
        <w:numPr>
          <w:ilvl w:val="0"/>
          <w:numId w:val="2"/>
        </w:numPr>
        <w:jc w:val="both"/>
        <w:rPr>
          <w:rFonts w:ascii="NexusSans-Regular" w:hAnsi="NexusSans-Regular" w:cs="Arial"/>
          <w:color w:val="000000" w:themeColor="text1"/>
          <w:sz w:val="20"/>
        </w:rPr>
      </w:pPr>
      <w:r>
        <w:rPr>
          <w:rFonts w:ascii="NexusSans-Regular" w:hAnsi="NexusSans-Regular" w:cs="Arial"/>
          <w:color w:val="000000" w:themeColor="text1"/>
          <w:sz w:val="20"/>
        </w:rPr>
        <w:t>B – Basis (Sachmittel, Werkverträge, Mittel für projektbezogene Reisen);</w:t>
      </w:r>
    </w:p>
    <w:p w14:paraId="49E8FAE6" w14:textId="2B887AF2" w:rsidR="003F24AB" w:rsidRDefault="00D2238A" w:rsidP="00D2238A">
      <w:pPr>
        <w:pStyle w:val="Listenabsatz"/>
        <w:numPr>
          <w:ilvl w:val="0"/>
          <w:numId w:val="2"/>
        </w:numPr>
        <w:jc w:val="both"/>
        <w:rPr>
          <w:rFonts w:ascii="NexusSans-Regular" w:hAnsi="NexusSans-Regular" w:cs="Arial"/>
          <w:color w:val="000000" w:themeColor="text1"/>
          <w:sz w:val="20"/>
        </w:rPr>
      </w:pPr>
      <w:r>
        <w:rPr>
          <w:rFonts w:ascii="NexusSans-Regular" w:hAnsi="NexusSans-Regular" w:cs="Arial"/>
          <w:color w:val="000000" w:themeColor="text1"/>
          <w:sz w:val="20"/>
        </w:rPr>
        <w:t xml:space="preserve">P </w:t>
      </w:r>
      <w:r w:rsidR="00D56535">
        <w:rPr>
          <w:rFonts w:ascii="NexusSans-Regular" w:hAnsi="NexusSans-Regular" w:cs="Arial"/>
          <w:color w:val="000000" w:themeColor="text1"/>
          <w:sz w:val="20"/>
        </w:rPr>
        <w:t>–</w:t>
      </w:r>
      <w:r>
        <w:rPr>
          <w:rFonts w:ascii="NexusSans-Regular" w:hAnsi="NexusSans-Regular" w:cs="Arial"/>
          <w:color w:val="000000" w:themeColor="text1"/>
          <w:sz w:val="20"/>
        </w:rPr>
        <w:t xml:space="preserve"> Personal</w:t>
      </w:r>
      <w:r w:rsidR="00061C6F">
        <w:rPr>
          <w:rFonts w:ascii="NexusSans-Regular" w:hAnsi="NexusSans-Regular" w:cs="Arial"/>
          <w:color w:val="000000" w:themeColor="text1"/>
          <w:sz w:val="20"/>
        </w:rPr>
        <w:t xml:space="preserve"> (Aufstockung bestehender Arbeitsverträge)</w:t>
      </w:r>
    </w:p>
    <w:p w14:paraId="2DE15215" w14:textId="37716B26" w:rsidR="00061C6F" w:rsidRPr="00D2238A" w:rsidRDefault="00D6049B" w:rsidP="00D2238A">
      <w:pPr>
        <w:pStyle w:val="Listenabsatz"/>
        <w:numPr>
          <w:ilvl w:val="0"/>
          <w:numId w:val="2"/>
        </w:numPr>
        <w:jc w:val="both"/>
        <w:rPr>
          <w:rFonts w:ascii="NexusSans-Regular" w:hAnsi="NexusSans-Regular" w:cs="Arial"/>
          <w:color w:val="000000" w:themeColor="text1"/>
          <w:sz w:val="20"/>
        </w:rPr>
      </w:pPr>
      <w:r>
        <w:rPr>
          <w:rFonts w:ascii="NexusSans-Regular" w:hAnsi="NexusSans-Regular" w:cs="Arial"/>
          <w:color w:val="000000" w:themeColor="text1"/>
          <w:sz w:val="20"/>
        </w:rPr>
        <w:t>C</w:t>
      </w:r>
      <w:r w:rsidR="00061C6F">
        <w:rPr>
          <w:rFonts w:ascii="NexusSans-Regular" w:hAnsi="NexusSans-Regular" w:cs="Arial"/>
          <w:color w:val="000000" w:themeColor="text1"/>
          <w:sz w:val="20"/>
        </w:rPr>
        <w:t xml:space="preserve"> </w:t>
      </w:r>
      <w:r>
        <w:rPr>
          <w:rFonts w:ascii="NexusSans-Regular" w:hAnsi="NexusSans-Regular" w:cs="Arial"/>
          <w:color w:val="000000" w:themeColor="text1"/>
          <w:sz w:val="20"/>
        </w:rPr>
        <w:t>–</w:t>
      </w:r>
      <w:r w:rsidR="00180E19">
        <w:rPr>
          <w:rFonts w:ascii="NexusSans-Regular" w:hAnsi="NexusSans-Regular" w:cs="Arial"/>
          <w:color w:val="000000" w:themeColor="text1"/>
          <w:sz w:val="20"/>
        </w:rPr>
        <w:t xml:space="preserve"> </w:t>
      </w:r>
      <w:r w:rsidR="00061C6F">
        <w:rPr>
          <w:rFonts w:ascii="NexusSans-Regular" w:hAnsi="NexusSans-Regular" w:cs="Arial"/>
          <w:color w:val="000000" w:themeColor="text1"/>
          <w:sz w:val="20"/>
        </w:rPr>
        <w:t>Coaching</w:t>
      </w:r>
    </w:p>
    <w:p w14:paraId="4FCA0802" w14:textId="6F9C72E2" w:rsidR="00F254F9" w:rsidRPr="00607FCC" w:rsidRDefault="00F254F9" w:rsidP="00AA25C0">
      <w:pPr>
        <w:spacing w:before="360"/>
        <w:rPr>
          <w:rFonts w:ascii="NexusSans-Regular" w:hAnsi="NexusSans-Regular" w:cs="Arial"/>
          <w:b/>
          <w:color w:val="000000" w:themeColor="text1"/>
          <w:sz w:val="20"/>
        </w:rPr>
      </w:pPr>
      <w:r w:rsidRPr="00607FCC">
        <w:rPr>
          <w:rFonts w:ascii="NexusSans-Regular" w:hAnsi="NexusSans-Regular" w:cs="Arial"/>
          <w:b/>
          <w:color w:val="000000" w:themeColor="text1"/>
          <w:sz w:val="20"/>
        </w:rPr>
        <w:t xml:space="preserve">Antragsberechtigung </w:t>
      </w:r>
    </w:p>
    <w:p w14:paraId="14A209D9" w14:textId="768472F1" w:rsidR="002740A1" w:rsidRPr="00AA25C0" w:rsidRDefault="0011430F" w:rsidP="00AA25C0">
      <w:pPr>
        <w:jc w:val="both"/>
        <w:rPr>
          <w:rFonts w:ascii="NexusSans-Regular" w:hAnsi="NexusSans-Regular" w:cs="Arial"/>
          <w:color w:val="000000" w:themeColor="text1"/>
          <w:sz w:val="20"/>
        </w:rPr>
      </w:pPr>
      <w:r w:rsidRPr="00607FCC">
        <w:rPr>
          <w:rFonts w:ascii="NexusSans-Regular" w:hAnsi="NexusSans-Regular" w:cs="Arial"/>
          <w:color w:val="000000" w:themeColor="text1"/>
          <w:sz w:val="20"/>
        </w:rPr>
        <w:t>Antragsberechtigt sind alle</w:t>
      </w:r>
      <w:r w:rsidR="00B63C9D" w:rsidRPr="00B63C9D">
        <w:rPr>
          <w:rFonts w:ascii="NexusSans-Regular" w:hAnsi="NexusSans-Regular" w:cs="Arial"/>
          <w:color w:val="000000" w:themeColor="text1"/>
          <w:sz w:val="20"/>
        </w:rPr>
        <w:t xml:space="preserve"> promovierten </w:t>
      </w:r>
      <w:r w:rsidR="003F24AB">
        <w:rPr>
          <w:rFonts w:ascii="NexusSans-Regular" w:hAnsi="NexusSans-Regular" w:cs="Arial"/>
          <w:color w:val="000000" w:themeColor="text1"/>
          <w:sz w:val="20"/>
        </w:rPr>
        <w:t>Wissenschaftler</w:t>
      </w:r>
      <w:r w:rsidR="0003792E">
        <w:rPr>
          <w:rFonts w:ascii="NexusSans-Regular" w:hAnsi="NexusSans-Regular" w:cs="Arial"/>
          <w:color w:val="000000" w:themeColor="text1"/>
          <w:sz w:val="20"/>
        </w:rPr>
        <w:t>*</w:t>
      </w:r>
      <w:r w:rsidR="003F24AB">
        <w:rPr>
          <w:rFonts w:ascii="NexusSans-Regular" w:hAnsi="NexusSans-Regular" w:cs="Arial"/>
          <w:color w:val="000000" w:themeColor="text1"/>
          <w:sz w:val="20"/>
        </w:rPr>
        <w:t>innen</w:t>
      </w:r>
      <w:r w:rsidR="00E35DAB">
        <w:rPr>
          <w:rFonts w:ascii="NexusSans-Regular" w:hAnsi="NexusSans-Regular" w:cs="Arial"/>
          <w:color w:val="000000" w:themeColor="text1"/>
          <w:sz w:val="20"/>
        </w:rPr>
        <w:t>, die Angehörige der Freien Universität Berlin sind</w:t>
      </w:r>
      <w:r w:rsidR="00C601C7">
        <w:rPr>
          <w:rFonts w:ascii="NexusSans-Regular" w:hAnsi="NexusSans-Regular" w:cs="Arial"/>
          <w:color w:val="000000" w:themeColor="text1"/>
          <w:sz w:val="20"/>
        </w:rPr>
        <w:t>.</w:t>
      </w:r>
      <w:r w:rsidR="0055295E">
        <w:rPr>
          <w:rFonts w:ascii="NexusSans-Regular" w:hAnsi="NexusSans-Regular" w:cs="Arial"/>
          <w:color w:val="000000" w:themeColor="text1"/>
          <w:sz w:val="20"/>
        </w:rPr>
        <w:t xml:space="preserve"> </w:t>
      </w:r>
      <w:r w:rsidR="00D6049B">
        <w:rPr>
          <w:rFonts w:ascii="NexusSans-Regular" w:hAnsi="NexusSans-Regular" w:cs="Arial"/>
          <w:color w:val="000000" w:themeColor="text1"/>
          <w:sz w:val="20"/>
        </w:rPr>
        <w:t>Für die Dauer der Förderung</w:t>
      </w:r>
      <w:r w:rsidRPr="00607FCC">
        <w:rPr>
          <w:rFonts w:ascii="NexusSans-Regular" w:hAnsi="NexusSans-Regular" w:cs="Arial"/>
          <w:color w:val="000000" w:themeColor="text1"/>
          <w:sz w:val="20"/>
        </w:rPr>
        <w:t xml:space="preserve"> muss ein aktives Beschäftigungsverhältnis mit der F</w:t>
      </w:r>
      <w:r w:rsidR="00E35DAB">
        <w:rPr>
          <w:rFonts w:ascii="NexusSans-Regular" w:hAnsi="NexusSans-Regular" w:cs="Arial"/>
          <w:color w:val="000000" w:themeColor="text1"/>
          <w:sz w:val="20"/>
        </w:rPr>
        <w:t>U</w:t>
      </w:r>
      <w:r w:rsidR="00607FCC">
        <w:rPr>
          <w:rFonts w:ascii="NexusSans-Regular" w:hAnsi="NexusSans-Regular" w:cs="Arial"/>
          <w:color w:val="000000" w:themeColor="text1"/>
          <w:sz w:val="20"/>
        </w:rPr>
        <w:t xml:space="preserve"> </w:t>
      </w:r>
      <w:r w:rsidR="00B63C9D">
        <w:rPr>
          <w:rFonts w:ascii="NexusSans-Regular" w:hAnsi="NexusSans-Regular" w:cs="Arial"/>
          <w:color w:val="000000" w:themeColor="text1"/>
          <w:sz w:val="20"/>
        </w:rPr>
        <w:t>bestehen</w:t>
      </w:r>
      <w:r w:rsidR="002740A1" w:rsidRPr="00607FCC">
        <w:rPr>
          <w:rFonts w:ascii="NexusSans-Regular" w:hAnsi="NexusSans-Regular" w:cs="Arial"/>
          <w:color w:val="000000" w:themeColor="text1"/>
          <w:sz w:val="20"/>
        </w:rPr>
        <w:t xml:space="preserve">. </w:t>
      </w:r>
      <w:r w:rsidR="009A5C1C">
        <w:rPr>
          <w:rFonts w:ascii="NexusSans-Regular" w:hAnsi="NexusSans-Regular" w:cs="Arial"/>
          <w:color w:val="000000" w:themeColor="text1"/>
          <w:sz w:val="20"/>
        </w:rPr>
        <w:t>Zudem</w:t>
      </w:r>
      <w:r w:rsidR="00E821E7">
        <w:rPr>
          <w:rFonts w:ascii="NexusSans-Regular" w:hAnsi="NexusSans-Regular" w:cs="Arial"/>
          <w:color w:val="000000" w:themeColor="text1"/>
          <w:sz w:val="20"/>
        </w:rPr>
        <w:t xml:space="preserve"> müssen bereits</w:t>
      </w:r>
      <w:r w:rsidR="00391DBB">
        <w:rPr>
          <w:rFonts w:ascii="NexusSans-Regular" w:hAnsi="NexusSans-Regular" w:cs="Arial"/>
          <w:color w:val="000000" w:themeColor="text1"/>
          <w:sz w:val="20"/>
        </w:rPr>
        <w:t xml:space="preserve"> konkret</w:t>
      </w:r>
      <w:r w:rsidR="00C87DC5">
        <w:rPr>
          <w:rFonts w:ascii="NexusSans-Regular" w:hAnsi="NexusSans-Regular" w:cs="Arial"/>
          <w:color w:val="000000" w:themeColor="text1"/>
          <w:sz w:val="20"/>
        </w:rPr>
        <w:t xml:space="preserve">e </w:t>
      </w:r>
      <w:r w:rsidR="00E821E7">
        <w:rPr>
          <w:rFonts w:ascii="NexusSans-Regular" w:hAnsi="NexusSans-Regular" w:cs="Arial"/>
          <w:color w:val="000000" w:themeColor="text1"/>
          <w:sz w:val="20"/>
        </w:rPr>
        <w:t>Forschungsergebnisse vorliegen, deren Verwertung als potenziell aussichtsreich e</w:t>
      </w:r>
      <w:r w:rsidR="009A5C1C">
        <w:rPr>
          <w:rFonts w:ascii="NexusSans-Regular" w:hAnsi="NexusSans-Regular" w:cs="Arial"/>
          <w:color w:val="000000" w:themeColor="text1"/>
          <w:sz w:val="20"/>
        </w:rPr>
        <w:t>in</w:t>
      </w:r>
      <w:r w:rsidR="00391DBB">
        <w:rPr>
          <w:rFonts w:ascii="NexusSans-Regular" w:hAnsi="NexusSans-Regular" w:cs="Arial"/>
          <w:color w:val="000000" w:themeColor="text1"/>
          <w:sz w:val="20"/>
        </w:rPr>
        <w:t>zuschätzen sind</w:t>
      </w:r>
      <w:r w:rsidR="009A5C1C">
        <w:rPr>
          <w:rFonts w:ascii="NexusSans-Regular" w:hAnsi="NexusSans-Regular" w:cs="Arial"/>
          <w:color w:val="000000" w:themeColor="text1"/>
          <w:sz w:val="20"/>
        </w:rPr>
        <w:t>.</w:t>
      </w:r>
      <w:r w:rsidR="00C87DC5">
        <w:rPr>
          <w:rFonts w:ascii="NexusSans-Regular" w:hAnsi="NexusSans-Regular" w:cs="Arial"/>
          <w:color w:val="000000" w:themeColor="text1"/>
          <w:sz w:val="20"/>
        </w:rPr>
        <w:t xml:space="preserve"> Im Falle von IP-basierten Daten muss die</w:t>
      </w:r>
      <w:r w:rsidR="00E821E7">
        <w:rPr>
          <w:rFonts w:ascii="NexusSans-Regular" w:hAnsi="NexusSans-Regular" w:cs="Arial"/>
          <w:color w:val="000000" w:themeColor="text1"/>
          <w:sz w:val="20"/>
        </w:rPr>
        <w:t xml:space="preserve"> </w:t>
      </w:r>
      <w:r w:rsidR="005B7C70">
        <w:rPr>
          <w:rFonts w:ascii="NexusSans-Regular" w:hAnsi="NexusSans-Regular" w:cs="Arial"/>
          <w:color w:val="000000" w:themeColor="text1"/>
          <w:sz w:val="20"/>
        </w:rPr>
        <w:t>Freie</w:t>
      </w:r>
      <w:r w:rsidR="00E821E7">
        <w:rPr>
          <w:rFonts w:ascii="NexusSans-Regular" w:hAnsi="NexusSans-Regular" w:cs="Arial"/>
          <w:color w:val="000000" w:themeColor="text1"/>
          <w:sz w:val="20"/>
        </w:rPr>
        <w:t xml:space="preserve"> Universität </w:t>
      </w:r>
      <w:r w:rsidR="00061C6F">
        <w:rPr>
          <w:rFonts w:ascii="NexusSans-Regular" w:hAnsi="NexusSans-Regular" w:cs="Arial"/>
          <w:color w:val="000000" w:themeColor="text1"/>
          <w:sz w:val="20"/>
        </w:rPr>
        <w:t xml:space="preserve">Berlin </w:t>
      </w:r>
      <w:r w:rsidR="00391DBB">
        <w:rPr>
          <w:rFonts w:ascii="NexusSans-Regular" w:hAnsi="NexusSans-Regular" w:cs="Arial"/>
          <w:color w:val="000000" w:themeColor="text1"/>
          <w:sz w:val="20"/>
        </w:rPr>
        <w:t>als Institution</w:t>
      </w:r>
      <w:r w:rsidR="005B7C70">
        <w:rPr>
          <w:rFonts w:ascii="NexusSans-Regular" w:hAnsi="NexusSans-Regular" w:cs="Arial"/>
          <w:color w:val="000000" w:themeColor="text1"/>
          <w:sz w:val="20"/>
        </w:rPr>
        <w:t xml:space="preserve"> über einen relevanten Anteil an den </w:t>
      </w:r>
      <w:r w:rsidR="00391DBB">
        <w:rPr>
          <w:rFonts w:ascii="NexusSans-Regular" w:hAnsi="NexusSans-Regular" w:cs="Arial"/>
          <w:color w:val="000000" w:themeColor="text1"/>
          <w:sz w:val="20"/>
        </w:rPr>
        <w:t xml:space="preserve">diesbezüglichen Inhaber- bzw. </w:t>
      </w:r>
      <w:r w:rsidR="005B7C70">
        <w:rPr>
          <w:rFonts w:ascii="NexusSans-Regular" w:hAnsi="NexusSans-Regular" w:cs="Arial"/>
          <w:color w:val="000000" w:themeColor="text1"/>
          <w:sz w:val="20"/>
        </w:rPr>
        <w:t>Verwertungsrechten verfügen</w:t>
      </w:r>
      <w:r w:rsidR="00E821E7">
        <w:rPr>
          <w:rFonts w:ascii="NexusSans-Regular" w:hAnsi="NexusSans-Regular" w:cs="Arial"/>
          <w:color w:val="000000" w:themeColor="text1"/>
          <w:sz w:val="20"/>
        </w:rPr>
        <w:t>.</w:t>
      </w:r>
      <w:r w:rsidR="00061C6F">
        <w:rPr>
          <w:rFonts w:ascii="NexusSans-Regular" w:hAnsi="NexusSans-Regular" w:cs="Arial"/>
          <w:color w:val="000000" w:themeColor="text1"/>
          <w:sz w:val="20"/>
        </w:rPr>
        <w:t xml:space="preserve"> </w:t>
      </w:r>
      <w:r w:rsidR="00061C6F" w:rsidRPr="00B36BCB">
        <w:rPr>
          <w:rFonts w:ascii="NexusSans-Regular" w:hAnsi="NexusSans-Regular" w:cs="Arial"/>
          <w:color w:val="000000" w:themeColor="text1"/>
          <w:sz w:val="20"/>
        </w:rPr>
        <w:t xml:space="preserve">Nach Abschluss und vor erneuter Antragstellung in der Förderlinie muss </w:t>
      </w:r>
      <w:r w:rsidR="00061C6F">
        <w:rPr>
          <w:rFonts w:ascii="NexusSans-Regular" w:hAnsi="NexusSans-Regular" w:cs="Arial"/>
          <w:color w:val="000000" w:themeColor="text1"/>
          <w:sz w:val="20"/>
        </w:rPr>
        <w:t>de</w:t>
      </w:r>
      <w:r w:rsidR="00C60212">
        <w:rPr>
          <w:rFonts w:ascii="NexusSans-Regular" w:hAnsi="NexusSans-Regular" w:cs="Arial"/>
          <w:color w:val="000000" w:themeColor="text1"/>
          <w:sz w:val="20"/>
        </w:rPr>
        <w:t>r Geschäftsstelle des Transferausschusses</w:t>
      </w:r>
      <w:r w:rsidR="00F71021">
        <w:rPr>
          <w:rFonts w:ascii="NexusSans-Regular" w:hAnsi="NexusSans-Regular" w:cs="Arial"/>
          <w:color w:val="000000" w:themeColor="text1"/>
          <w:sz w:val="20"/>
        </w:rPr>
        <w:t xml:space="preserve"> </w:t>
      </w:r>
      <w:r w:rsidR="00061C6F" w:rsidRPr="00B36BCB">
        <w:rPr>
          <w:rFonts w:ascii="NexusSans-Regular" w:hAnsi="NexusSans-Regular" w:cs="Arial"/>
          <w:color w:val="000000" w:themeColor="text1"/>
          <w:sz w:val="20"/>
        </w:rPr>
        <w:t xml:space="preserve">ein kurzer Abschlussbericht </w:t>
      </w:r>
      <w:r w:rsidR="00061C6F">
        <w:rPr>
          <w:rFonts w:ascii="NexusSans-Regular" w:hAnsi="NexusSans-Regular" w:cs="Arial"/>
          <w:color w:val="000000" w:themeColor="text1"/>
          <w:sz w:val="20"/>
        </w:rPr>
        <w:t xml:space="preserve">samt konkreter Schritte für die weitere Einwerbung von anwendungs-/verwertungsnahen Drittmitteln (oder entsprechender Antrag) oder für Verwertungspartner </w:t>
      </w:r>
      <w:r w:rsidR="00061C6F" w:rsidRPr="00B36BCB">
        <w:rPr>
          <w:rFonts w:ascii="NexusSans-Regular" w:hAnsi="NexusSans-Regular" w:cs="Arial"/>
          <w:color w:val="000000" w:themeColor="text1"/>
          <w:sz w:val="20"/>
        </w:rPr>
        <w:t xml:space="preserve">vorgelegt werden. </w:t>
      </w:r>
      <w:r w:rsidR="00061C6F">
        <w:rPr>
          <w:rFonts w:ascii="NexusSans-Regular" w:hAnsi="NexusSans-Regular" w:cs="Arial"/>
          <w:color w:val="000000" w:themeColor="text1"/>
          <w:sz w:val="20"/>
        </w:rPr>
        <w:t xml:space="preserve">Falls die Validierung </w:t>
      </w:r>
      <w:r w:rsidR="00061C6F">
        <w:rPr>
          <w:rFonts w:ascii="NexusSans-Regular" w:hAnsi="NexusSans-Regular" w:cs="Arial"/>
          <w:color w:val="000000" w:themeColor="text1"/>
          <w:sz w:val="20"/>
        </w:rPr>
        <w:lastRenderedPageBreak/>
        <w:t xml:space="preserve">zum Ergebnis führt, dass eine weitere Verwertung nicht sinnvoll erscheint, so ist dies </w:t>
      </w:r>
      <w:r w:rsidR="00C33887">
        <w:rPr>
          <w:rFonts w:ascii="NexusSans-Regular" w:hAnsi="NexusSans-Regular" w:cs="Arial"/>
          <w:color w:val="000000" w:themeColor="text1"/>
          <w:sz w:val="20"/>
        </w:rPr>
        <w:t xml:space="preserve">entsprechend schriftlich </w:t>
      </w:r>
      <w:r w:rsidR="00061C6F">
        <w:rPr>
          <w:rFonts w:ascii="NexusSans-Regular" w:hAnsi="NexusSans-Regular" w:cs="Arial"/>
          <w:color w:val="000000" w:themeColor="text1"/>
          <w:sz w:val="20"/>
        </w:rPr>
        <w:t>zu begründen.</w:t>
      </w:r>
    </w:p>
    <w:p w14:paraId="27608A7F" w14:textId="77777777" w:rsidR="00E34206" w:rsidRPr="00E34206" w:rsidRDefault="00F254F9" w:rsidP="00AA25C0">
      <w:pPr>
        <w:spacing w:before="360"/>
        <w:rPr>
          <w:rFonts w:ascii="NexusSans-Regular" w:hAnsi="NexusSans-Regular" w:cs="Arial"/>
          <w:b/>
          <w:color w:val="000000" w:themeColor="text1"/>
          <w:sz w:val="20"/>
        </w:rPr>
      </w:pPr>
      <w:r w:rsidRPr="00607FCC">
        <w:rPr>
          <w:rFonts w:ascii="NexusSans-Regular" w:hAnsi="NexusSans-Regular" w:cs="Arial"/>
          <w:b/>
          <w:color w:val="000000" w:themeColor="text1"/>
          <w:sz w:val="20"/>
        </w:rPr>
        <w:t xml:space="preserve">Antragsverfahren </w:t>
      </w:r>
    </w:p>
    <w:p w14:paraId="3DADFA9C" w14:textId="3D136F07" w:rsidR="0085214A" w:rsidRPr="0085214A" w:rsidRDefault="00E34206" w:rsidP="0085214A">
      <w:pPr>
        <w:jc w:val="both"/>
        <w:rPr>
          <w:rFonts w:ascii="NexusSans-Regular" w:hAnsi="NexusSans-Regular" w:cs="Arial"/>
          <w:b/>
          <w:color w:val="000000" w:themeColor="text1"/>
          <w:sz w:val="16"/>
        </w:rPr>
      </w:pPr>
      <w:r w:rsidRPr="00E34206">
        <w:rPr>
          <w:rFonts w:ascii="NexusSans-Regular" w:hAnsi="NexusSans-Regular"/>
          <w:sz w:val="20"/>
          <w:szCs w:val="23"/>
        </w:rPr>
        <w:t xml:space="preserve">Die Anträge </w:t>
      </w:r>
      <w:r w:rsidR="00E821E7">
        <w:rPr>
          <w:rFonts w:ascii="NexusSans-Regular" w:hAnsi="NexusSans-Regular"/>
          <w:sz w:val="20"/>
          <w:szCs w:val="23"/>
        </w:rPr>
        <w:t>können</w:t>
      </w:r>
      <w:r w:rsidR="00061C6F">
        <w:rPr>
          <w:rFonts w:ascii="NexusSans-Regular" w:hAnsi="NexusSans-Regular"/>
          <w:sz w:val="20"/>
          <w:szCs w:val="23"/>
        </w:rPr>
        <w:t xml:space="preserve"> zu den auf der Homepage angegebenen </w:t>
      </w:r>
      <w:hyperlink r:id="rId8" w:history="1">
        <w:r w:rsidR="00061C6F" w:rsidRPr="007851E9">
          <w:rPr>
            <w:rStyle w:val="Hyperlink"/>
            <w:rFonts w:ascii="NexusSans-Regular" w:hAnsi="NexusSans-Regular"/>
            <w:sz w:val="20"/>
            <w:szCs w:val="23"/>
          </w:rPr>
          <w:t>Antragsfristen</w:t>
        </w:r>
      </w:hyperlink>
      <w:r w:rsidR="00061C6F">
        <w:rPr>
          <w:rFonts w:ascii="NexusSans-Regular" w:hAnsi="NexusSans-Regular"/>
          <w:sz w:val="20"/>
          <w:szCs w:val="23"/>
        </w:rPr>
        <w:t xml:space="preserve"> elektronisch via</w:t>
      </w:r>
      <w:r w:rsidR="00E821E7">
        <w:rPr>
          <w:rFonts w:ascii="NexusSans-Regular" w:hAnsi="NexusSans-Regular"/>
          <w:sz w:val="20"/>
          <w:szCs w:val="23"/>
        </w:rPr>
        <w:t xml:space="preserve"> </w:t>
      </w:r>
      <w:hyperlink r:id="rId9" w:history="1">
        <w:r w:rsidR="00180E19" w:rsidRPr="001311D9">
          <w:rPr>
            <w:rStyle w:val="Hyperlink"/>
            <w:rFonts w:ascii="NexusSans-Regular" w:hAnsi="NexusSans-Regular"/>
            <w:sz w:val="20"/>
            <w:szCs w:val="23"/>
          </w:rPr>
          <w:t>transfer@forschung.fu-berlin.de</w:t>
        </w:r>
      </w:hyperlink>
      <w:r w:rsidR="00E96E9C">
        <w:rPr>
          <w:rFonts w:ascii="NexusSans-Regular" w:hAnsi="NexusSans-Regular"/>
          <w:sz w:val="20"/>
          <w:szCs w:val="23"/>
        </w:rPr>
        <w:t xml:space="preserve"> </w:t>
      </w:r>
      <w:r w:rsidR="00E821E7">
        <w:rPr>
          <w:rFonts w:ascii="NexusSans-Regular" w:hAnsi="NexusSans-Regular"/>
          <w:sz w:val="20"/>
          <w:szCs w:val="23"/>
        </w:rPr>
        <w:t xml:space="preserve"> </w:t>
      </w:r>
      <w:r w:rsidR="00A422BD">
        <w:rPr>
          <w:rFonts w:ascii="NexusSans-Regular" w:hAnsi="NexusSans-Regular"/>
          <w:sz w:val="20"/>
          <w:szCs w:val="23"/>
        </w:rPr>
        <w:t xml:space="preserve"> bei der Geschäftsstelle</w:t>
      </w:r>
      <w:r w:rsidR="00FE35F6">
        <w:rPr>
          <w:rFonts w:ascii="NexusSans-Regular" w:hAnsi="NexusSans-Regular"/>
          <w:sz w:val="20"/>
          <w:szCs w:val="23"/>
        </w:rPr>
        <w:t xml:space="preserve"> des Transferausschusses </w:t>
      </w:r>
      <w:r w:rsidR="00A422BD">
        <w:rPr>
          <w:rFonts w:ascii="NexusSans-Regular" w:hAnsi="NexusSans-Regular"/>
          <w:sz w:val="20"/>
          <w:szCs w:val="23"/>
        </w:rPr>
        <w:t xml:space="preserve"> </w:t>
      </w:r>
      <w:r w:rsidRPr="00E34206">
        <w:rPr>
          <w:rFonts w:ascii="NexusSans-Regular" w:hAnsi="NexusSans-Regular"/>
          <w:sz w:val="20"/>
          <w:szCs w:val="23"/>
        </w:rPr>
        <w:t>eingereicht werden.</w:t>
      </w:r>
      <w:r w:rsidR="00F9421E">
        <w:rPr>
          <w:rFonts w:ascii="NexusSans-Regular" w:hAnsi="NexusSans-Regular"/>
          <w:sz w:val="20"/>
          <w:szCs w:val="23"/>
        </w:rPr>
        <w:t xml:space="preserve"> </w:t>
      </w:r>
      <w:r w:rsidR="00413A5C">
        <w:rPr>
          <w:rFonts w:ascii="NexusSans-Regular" w:hAnsi="NexusSans-Regular"/>
          <w:sz w:val="20"/>
          <w:szCs w:val="23"/>
        </w:rPr>
        <w:t>Der</w:t>
      </w:r>
      <w:r w:rsidR="00061C6F">
        <w:rPr>
          <w:rFonts w:ascii="NexusSans-Regular" w:hAnsi="NexusSans-Regular"/>
          <w:sz w:val="20"/>
          <w:szCs w:val="23"/>
        </w:rPr>
        <w:t xml:space="preserve"> Transfer</w:t>
      </w:r>
      <w:r w:rsidR="00413A5C">
        <w:rPr>
          <w:rFonts w:ascii="NexusSans-Regular" w:hAnsi="NexusSans-Regular"/>
          <w:sz w:val="20"/>
          <w:szCs w:val="23"/>
        </w:rPr>
        <w:t>ausschuss</w:t>
      </w:r>
      <w:r w:rsidR="00061C6F">
        <w:rPr>
          <w:rFonts w:ascii="NexusSans-Regular" w:hAnsi="NexusSans-Regular"/>
          <w:sz w:val="20"/>
          <w:szCs w:val="23"/>
        </w:rPr>
        <w:t xml:space="preserve"> befindet über die Anträge im Rahmen </w:t>
      </w:r>
      <w:r w:rsidR="00413A5C">
        <w:rPr>
          <w:rFonts w:ascii="NexusSans-Regular" w:hAnsi="NexusSans-Regular"/>
          <w:sz w:val="20"/>
          <w:szCs w:val="23"/>
        </w:rPr>
        <w:t>seiner</w:t>
      </w:r>
      <w:r w:rsidR="00061C6F">
        <w:rPr>
          <w:rFonts w:ascii="NexusSans-Regular" w:hAnsi="NexusSans-Regular"/>
          <w:sz w:val="20"/>
          <w:szCs w:val="23"/>
        </w:rPr>
        <w:t xml:space="preserve"> regulären Sitzungen. </w:t>
      </w:r>
      <w:r w:rsidR="00373A19">
        <w:rPr>
          <w:rFonts w:ascii="NexusSans-Regular" w:hAnsi="NexusSans-Regular"/>
          <w:sz w:val="20"/>
          <w:szCs w:val="23"/>
        </w:rPr>
        <w:t xml:space="preserve">Ein vorheriges Beratungsgespräch beim Patent- und Lizenzservice </w:t>
      </w:r>
      <w:r w:rsidR="002009D4">
        <w:rPr>
          <w:rFonts w:ascii="NexusSans-Regular" w:hAnsi="NexusSans-Regular"/>
          <w:sz w:val="20"/>
          <w:szCs w:val="23"/>
        </w:rPr>
        <w:t xml:space="preserve">und </w:t>
      </w:r>
      <w:r w:rsidR="00C33887">
        <w:rPr>
          <w:rFonts w:ascii="NexusSans-Regular" w:hAnsi="NexusSans-Regular"/>
          <w:sz w:val="20"/>
          <w:szCs w:val="23"/>
        </w:rPr>
        <w:t xml:space="preserve">dem </w:t>
      </w:r>
      <w:r w:rsidR="00F71021">
        <w:rPr>
          <w:rFonts w:ascii="NexusSans-Regular" w:hAnsi="NexusSans-Regular"/>
          <w:sz w:val="20"/>
          <w:szCs w:val="23"/>
        </w:rPr>
        <w:t xml:space="preserve">Team </w:t>
      </w:r>
      <w:r w:rsidR="00FE35F6">
        <w:rPr>
          <w:rFonts w:ascii="NexusSans-Regular" w:hAnsi="NexusSans-Regular"/>
          <w:sz w:val="20"/>
          <w:szCs w:val="23"/>
        </w:rPr>
        <w:t xml:space="preserve">VI A /SHIFT </w:t>
      </w:r>
      <w:r w:rsidR="00373A19">
        <w:rPr>
          <w:rFonts w:ascii="NexusSans-Regular" w:hAnsi="NexusSans-Regular"/>
          <w:sz w:val="20"/>
          <w:szCs w:val="23"/>
        </w:rPr>
        <w:t>vor Antragseinreichung ist verpflichtend</w:t>
      </w:r>
      <w:r w:rsidR="00AE7BAD">
        <w:rPr>
          <w:rFonts w:ascii="NexusSans-Regular" w:hAnsi="NexusSans-Regular"/>
          <w:sz w:val="20"/>
          <w:szCs w:val="23"/>
        </w:rPr>
        <w:t>; dieses sollte spätestens 4 Wochen vor Einreichung des Antrags</w:t>
      </w:r>
      <w:r w:rsidR="00C33887">
        <w:rPr>
          <w:rFonts w:ascii="NexusSans-Regular" w:hAnsi="NexusSans-Regular"/>
          <w:sz w:val="20"/>
          <w:szCs w:val="23"/>
        </w:rPr>
        <w:t xml:space="preserve"> beim Transferausschuss</w:t>
      </w:r>
      <w:r w:rsidR="00AE7BAD">
        <w:rPr>
          <w:rFonts w:ascii="NexusSans-Regular" w:hAnsi="NexusSans-Regular"/>
          <w:sz w:val="20"/>
          <w:szCs w:val="23"/>
        </w:rPr>
        <w:t xml:space="preserve"> </w:t>
      </w:r>
      <w:r w:rsidR="0065525A">
        <w:rPr>
          <w:rFonts w:ascii="NexusSans-Regular" w:hAnsi="NexusSans-Regular"/>
          <w:sz w:val="20"/>
          <w:szCs w:val="23"/>
        </w:rPr>
        <w:t>durchgeführt werden</w:t>
      </w:r>
      <w:r w:rsidR="00373A19">
        <w:rPr>
          <w:rFonts w:ascii="NexusSans-Regular" w:hAnsi="NexusSans-Regular"/>
          <w:sz w:val="20"/>
          <w:szCs w:val="23"/>
        </w:rPr>
        <w:t xml:space="preserve">. </w:t>
      </w:r>
      <w:r w:rsidR="00F9421E">
        <w:rPr>
          <w:rFonts w:ascii="NexusSans-Regular" w:hAnsi="NexusSans-Regular"/>
          <w:sz w:val="20"/>
          <w:szCs w:val="23"/>
        </w:rPr>
        <w:t>Anträge müssen der Formatvorlage entsprechen und zusammen mit einem Lebensl</w:t>
      </w:r>
      <w:r w:rsidR="00E821E7">
        <w:rPr>
          <w:rFonts w:ascii="NexusSans-Regular" w:hAnsi="NexusSans-Regular"/>
          <w:sz w:val="20"/>
          <w:szCs w:val="23"/>
        </w:rPr>
        <w:t xml:space="preserve">auf </w:t>
      </w:r>
      <w:r w:rsidR="00F9421E">
        <w:rPr>
          <w:rFonts w:ascii="NexusSans-Regular" w:hAnsi="NexusSans-Regular"/>
          <w:sz w:val="20"/>
          <w:szCs w:val="23"/>
        </w:rPr>
        <w:t>eingereicht w</w:t>
      </w:r>
      <w:r w:rsidR="00631079">
        <w:rPr>
          <w:rFonts w:ascii="NexusSans-Regular" w:hAnsi="NexusSans-Regular"/>
          <w:sz w:val="20"/>
          <w:szCs w:val="23"/>
        </w:rPr>
        <w:t>e</w:t>
      </w:r>
      <w:r w:rsidR="00F9421E">
        <w:rPr>
          <w:rFonts w:ascii="NexusSans-Regular" w:hAnsi="NexusSans-Regular"/>
          <w:sz w:val="20"/>
          <w:szCs w:val="23"/>
        </w:rPr>
        <w:t>r</w:t>
      </w:r>
      <w:r w:rsidR="00631079">
        <w:rPr>
          <w:rFonts w:ascii="NexusSans-Regular" w:hAnsi="NexusSans-Regular"/>
          <w:sz w:val="20"/>
          <w:szCs w:val="23"/>
        </w:rPr>
        <w:t>den.</w:t>
      </w:r>
      <w:r>
        <w:rPr>
          <w:rFonts w:ascii="NexusSans-Regular" w:hAnsi="NexusSans-Regular"/>
          <w:sz w:val="20"/>
          <w:szCs w:val="23"/>
        </w:rPr>
        <w:t xml:space="preserve"> </w:t>
      </w:r>
      <w:r w:rsidR="00EB2B00">
        <w:rPr>
          <w:rFonts w:ascii="NexusSans-Regular" w:hAnsi="NexusSans-Regular"/>
          <w:sz w:val="20"/>
          <w:szCs w:val="23"/>
        </w:rPr>
        <w:t>Antragsteller</w:t>
      </w:r>
      <w:r w:rsidR="00F81371">
        <w:rPr>
          <w:rFonts w:ascii="NexusSans-Regular" w:hAnsi="NexusSans-Regular"/>
          <w:sz w:val="20"/>
          <w:szCs w:val="23"/>
        </w:rPr>
        <w:t>*</w:t>
      </w:r>
      <w:r w:rsidR="0055295E">
        <w:rPr>
          <w:rFonts w:ascii="NexusSans-Regular" w:hAnsi="NexusSans-Regular"/>
          <w:sz w:val="20"/>
          <w:szCs w:val="23"/>
        </w:rPr>
        <w:t xml:space="preserve">innen dürfen für jede Sitzung nur einen Antrag einreichen. Darüber hinaus eingereichte Anträge werden grundsätzlich abgelehnt. </w:t>
      </w:r>
    </w:p>
    <w:p w14:paraId="56740FA8" w14:textId="77777777" w:rsidR="002740A1" w:rsidRDefault="0085214A" w:rsidP="00AA25C0">
      <w:pPr>
        <w:spacing w:before="360"/>
        <w:rPr>
          <w:rFonts w:ascii="NexusSans-Regular" w:hAnsi="NexusSans-Regular" w:cs="Arial"/>
          <w:b/>
          <w:color w:val="000000" w:themeColor="text1"/>
          <w:sz w:val="20"/>
        </w:rPr>
      </w:pPr>
      <w:r>
        <w:rPr>
          <w:rFonts w:ascii="NexusSans-Regular" w:hAnsi="NexusSans-Regular" w:cs="Arial"/>
          <w:b/>
          <w:color w:val="000000" w:themeColor="text1"/>
          <w:sz w:val="20"/>
        </w:rPr>
        <w:t xml:space="preserve">Ko-Finanzierung durch die Fachbereiche / Eigenanteile </w:t>
      </w:r>
    </w:p>
    <w:p w14:paraId="3D8989D5" w14:textId="710186B3" w:rsidR="0085214A" w:rsidRDefault="00AA25C0">
      <w:pPr>
        <w:rPr>
          <w:rFonts w:ascii="NexusSans-Regular" w:hAnsi="NexusSans-Regular" w:cs="Arial"/>
          <w:color w:val="000000" w:themeColor="text1"/>
          <w:sz w:val="20"/>
        </w:rPr>
      </w:pPr>
      <w:r>
        <w:rPr>
          <w:rFonts w:ascii="NexusSans-Regular" w:hAnsi="NexusSans-Regular" w:cs="Arial"/>
          <w:color w:val="000000" w:themeColor="text1"/>
          <w:sz w:val="20"/>
        </w:rPr>
        <w:t>Es ist kei</w:t>
      </w:r>
      <w:r w:rsidR="008D43C5">
        <w:rPr>
          <w:rFonts w:ascii="NexusSans-Regular" w:hAnsi="NexusSans-Regular" w:cs="Arial"/>
          <w:color w:val="000000" w:themeColor="text1"/>
          <w:sz w:val="20"/>
        </w:rPr>
        <w:t>ne Ko-Finanzierun</w:t>
      </w:r>
      <w:r w:rsidR="00D27EF0">
        <w:rPr>
          <w:rFonts w:ascii="NexusSans-Regular" w:hAnsi="NexusSans-Regular" w:cs="Arial"/>
          <w:color w:val="000000" w:themeColor="text1"/>
          <w:sz w:val="20"/>
        </w:rPr>
        <w:t>g erforderlich</w:t>
      </w:r>
      <w:r w:rsidR="008D43C5">
        <w:rPr>
          <w:rFonts w:ascii="NexusSans-Regular" w:hAnsi="NexusSans-Regular" w:cs="Arial"/>
          <w:color w:val="000000" w:themeColor="text1"/>
          <w:sz w:val="20"/>
        </w:rPr>
        <w:t>.</w:t>
      </w:r>
    </w:p>
    <w:p w14:paraId="2EB5FAAD" w14:textId="064EEFED" w:rsidR="00AA25C0" w:rsidRPr="0075476C" w:rsidRDefault="00AA25C0" w:rsidP="0075476C">
      <w:pPr>
        <w:rPr>
          <w:rFonts w:ascii="NexusSans-Regular" w:hAnsi="NexusSans-Regular" w:cs="Arial"/>
          <w:color w:val="000000" w:themeColor="text1"/>
          <w:sz w:val="20"/>
        </w:rPr>
      </w:pPr>
    </w:p>
    <w:sectPr w:rsidR="00AA25C0" w:rsidRPr="007547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0FAAB" w14:textId="77777777" w:rsidR="00841C4F" w:rsidRDefault="00841C4F" w:rsidP="00543BA2">
      <w:pPr>
        <w:spacing w:after="0" w:line="240" w:lineRule="auto"/>
      </w:pPr>
      <w:r>
        <w:separator/>
      </w:r>
    </w:p>
  </w:endnote>
  <w:endnote w:type="continuationSeparator" w:id="0">
    <w:p w14:paraId="481274C4" w14:textId="77777777" w:rsidR="00841C4F" w:rsidRDefault="00841C4F" w:rsidP="0054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xusSans-Regular">
    <w:panose1 w:val="02000503040000020004"/>
    <w:charset w:val="00"/>
    <w:family w:val="auto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A8A77" w14:textId="77777777" w:rsidR="00790B7C" w:rsidRDefault="00790B7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EDC00" w14:textId="77777777" w:rsidR="00790B7C" w:rsidRDefault="00790B7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9753" w14:textId="77777777" w:rsidR="00790B7C" w:rsidRDefault="00790B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B59C7" w14:textId="77777777" w:rsidR="00841C4F" w:rsidRDefault="00841C4F" w:rsidP="00543BA2">
      <w:pPr>
        <w:spacing w:after="0" w:line="240" w:lineRule="auto"/>
      </w:pPr>
      <w:r>
        <w:separator/>
      </w:r>
    </w:p>
  </w:footnote>
  <w:footnote w:type="continuationSeparator" w:id="0">
    <w:p w14:paraId="4C12F385" w14:textId="77777777" w:rsidR="00841C4F" w:rsidRDefault="00841C4F" w:rsidP="00543BA2">
      <w:pPr>
        <w:spacing w:after="0" w:line="240" w:lineRule="auto"/>
      </w:pPr>
      <w:r>
        <w:continuationSeparator/>
      </w:r>
    </w:p>
  </w:footnote>
  <w:footnote w:id="1">
    <w:p w14:paraId="19B43DAF" w14:textId="77777777" w:rsidR="0069760A" w:rsidRDefault="0069760A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8D43C5">
        <w:rPr>
          <w:rFonts w:ascii="NexusSans-Regular" w:hAnsi="NexusSans-Regular" w:cs="Arial"/>
          <w:color w:val="000000" w:themeColor="text1"/>
          <w:sz w:val="18"/>
          <w:szCs w:val="18"/>
        </w:rPr>
        <w:t xml:space="preserve">Siehe hierzu auch: Leitlinien zum Schutz und zur Verwertung von geistigem Eigentum der Freien Universität Berlin, </w:t>
      </w:r>
      <w:hyperlink r:id="rId1" w:history="1">
        <w:r w:rsidRPr="008D43C5">
          <w:rPr>
            <w:rFonts w:ascii="NexusSans-Regular" w:hAnsi="NexusSans-Regular" w:cs="Arial"/>
            <w:color w:val="000000" w:themeColor="text1"/>
            <w:sz w:val="18"/>
            <w:szCs w:val="18"/>
          </w:rPr>
          <w:t>https://www.fu-berlin.de/forschung/service/patente-und-lizenzen/media/IP-Leitlinien_PuLS_Version_AS.pdf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C93F" w14:textId="77777777" w:rsidR="00790B7C" w:rsidRDefault="00790B7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7D52" w14:textId="5C56F25E" w:rsidR="00543BA2" w:rsidRPr="00543BA2" w:rsidRDefault="00FE35F6" w:rsidP="00FE35F6">
    <w:pPr>
      <w:pStyle w:val="Default"/>
      <w:tabs>
        <w:tab w:val="left" w:pos="870"/>
        <w:tab w:val="right" w:pos="9072"/>
      </w:tabs>
      <w:rPr>
        <w:rFonts w:ascii="NexusSans-Regular" w:hAnsi="NexusSans-Regular"/>
        <w:szCs w:val="23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4CEC16B" wp14:editId="6CDBC40A">
          <wp:simplePos x="0" y="0"/>
          <wp:positionH relativeFrom="column">
            <wp:posOffset>-213995</wp:posOffset>
          </wp:positionH>
          <wp:positionV relativeFrom="paragraph">
            <wp:posOffset>-106680</wp:posOffset>
          </wp:positionV>
          <wp:extent cx="1162050" cy="435610"/>
          <wp:effectExtent l="0" t="0" r="0" b="254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NexusSans-Regular" w:hAnsi="NexusSans-Regular"/>
        <w:szCs w:val="23"/>
      </w:rPr>
      <w:tab/>
    </w:r>
    <w:r>
      <w:rPr>
        <w:rFonts w:ascii="NexusSans-Regular" w:hAnsi="NexusSans-Regular"/>
        <w:szCs w:val="23"/>
      </w:rPr>
      <w:tab/>
    </w:r>
    <w:r w:rsidR="008D43C5">
      <w:rPr>
        <w:rFonts w:ascii="NexusSans-Regular" w:hAnsi="NexusSans-Regular"/>
        <w:szCs w:val="23"/>
      </w:rPr>
      <w:t xml:space="preserve"> Abteilung Forschung</w:t>
    </w:r>
  </w:p>
  <w:p w14:paraId="64BF9484" w14:textId="39292C56" w:rsidR="006032D0" w:rsidRPr="00FE35F6" w:rsidRDefault="00A422BD" w:rsidP="00543BA2">
    <w:pPr>
      <w:pStyle w:val="Kopfzeile"/>
      <w:jc w:val="right"/>
      <w:rPr>
        <w:rFonts w:ascii="NexusSans-Regular" w:hAnsi="NexusSans-Regular"/>
        <w:sz w:val="18"/>
        <w:szCs w:val="23"/>
      </w:rPr>
    </w:pPr>
    <w:r w:rsidRPr="00FE35F6">
      <w:rPr>
        <w:rFonts w:ascii="NexusSans-Regular" w:hAnsi="NexusSans-Regular"/>
        <w:sz w:val="18"/>
        <w:szCs w:val="23"/>
      </w:rPr>
      <w:t xml:space="preserve">Team VI A: </w:t>
    </w:r>
    <w:r w:rsidR="00FE35F6" w:rsidRPr="00FE35F6">
      <w:rPr>
        <w:rFonts w:ascii="NexusSans-Regular" w:hAnsi="NexusSans-Regular"/>
        <w:sz w:val="18"/>
        <w:szCs w:val="23"/>
      </w:rPr>
      <w:t>Innovation u</w:t>
    </w:r>
    <w:r w:rsidR="00FE35F6" w:rsidRPr="00790B7C">
      <w:rPr>
        <w:rFonts w:ascii="NexusSans-Regular" w:hAnsi="NexusSans-Regular"/>
        <w:sz w:val="18"/>
        <w:szCs w:val="23"/>
      </w:rPr>
      <w:t>nd</w:t>
    </w:r>
    <w:r w:rsidR="00FE35F6">
      <w:rPr>
        <w:rFonts w:ascii="NexusSans-Regular" w:hAnsi="NexusSans-Regular"/>
        <w:sz w:val="18"/>
        <w:szCs w:val="23"/>
      </w:rPr>
      <w:t xml:space="preserve"> Transfer/SHIFT</w:t>
    </w:r>
  </w:p>
  <w:p w14:paraId="24D0A595" w14:textId="7866A2CD" w:rsidR="00543BA2" w:rsidRPr="00543BA2" w:rsidRDefault="00543BA2" w:rsidP="00543BA2">
    <w:pPr>
      <w:pStyle w:val="Kopfzeile"/>
      <w:jc w:val="right"/>
      <w:rPr>
        <w:rFonts w:ascii="NexusSans-Regular" w:hAnsi="NexusSans-Regular"/>
        <w:sz w:val="16"/>
      </w:rPr>
    </w:pPr>
    <w:r w:rsidRPr="00543BA2">
      <w:rPr>
        <w:rFonts w:ascii="NexusSans-Regular" w:hAnsi="NexusSans-Regular"/>
        <w:sz w:val="18"/>
        <w:szCs w:val="23"/>
      </w:rPr>
      <w:t xml:space="preserve">Kontakt: </w:t>
    </w:r>
    <w:r w:rsidR="00631058">
      <w:rPr>
        <w:rFonts w:ascii="NexusSans-Regular" w:hAnsi="NexusSans-Regular"/>
        <w:color w:val="0000FF"/>
        <w:sz w:val="18"/>
        <w:szCs w:val="23"/>
      </w:rPr>
      <w:t>transfer@</w:t>
    </w:r>
    <w:r w:rsidR="00180E19">
      <w:rPr>
        <w:rFonts w:ascii="NexusSans-Regular" w:hAnsi="NexusSans-Regular"/>
        <w:color w:val="0000FF"/>
        <w:sz w:val="18"/>
        <w:szCs w:val="23"/>
      </w:rPr>
      <w:t>forschung.</w:t>
    </w:r>
    <w:r w:rsidR="00631058">
      <w:rPr>
        <w:rFonts w:ascii="NexusSans-Regular" w:hAnsi="NexusSans-Regular"/>
        <w:color w:val="0000FF"/>
        <w:sz w:val="18"/>
        <w:szCs w:val="23"/>
      </w:rPr>
      <w:t>fu-berlin.de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C236" w14:textId="77777777" w:rsidR="00790B7C" w:rsidRDefault="00790B7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63298"/>
    <w:multiLevelType w:val="hybridMultilevel"/>
    <w:tmpl w:val="8FF4192A"/>
    <w:lvl w:ilvl="0" w:tplc="ACE0B266">
      <w:start w:val="15"/>
      <w:numFmt w:val="bullet"/>
      <w:lvlText w:val="-"/>
      <w:lvlJc w:val="left"/>
      <w:pPr>
        <w:ind w:left="720" w:hanging="360"/>
      </w:pPr>
      <w:rPr>
        <w:rFonts w:ascii="NexusSans-Regular" w:eastAsiaTheme="minorHAnsi" w:hAnsi="NexusSans-Regular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F0E38"/>
    <w:multiLevelType w:val="hybridMultilevel"/>
    <w:tmpl w:val="10840E68"/>
    <w:lvl w:ilvl="0" w:tplc="C8502D30">
      <w:numFmt w:val="bullet"/>
      <w:lvlText w:val="-"/>
      <w:lvlJc w:val="left"/>
      <w:pPr>
        <w:ind w:left="720" w:hanging="360"/>
      </w:pPr>
      <w:rPr>
        <w:rFonts w:ascii="NexusSans-Regular" w:eastAsiaTheme="minorHAnsi" w:hAnsi="NexusSans-Regular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701580">
    <w:abstractNumId w:val="0"/>
  </w:num>
  <w:num w:numId="2" w16cid:durableId="1912697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74F"/>
    <w:rsid w:val="00011816"/>
    <w:rsid w:val="0002215D"/>
    <w:rsid w:val="000300BC"/>
    <w:rsid w:val="0003792E"/>
    <w:rsid w:val="00054F24"/>
    <w:rsid w:val="00061C6F"/>
    <w:rsid w:val="00070980"/>
    <w:rsid w:val="000C04D7"/>
    <w:rsid w:val="000D2B34"/>
    <w:rsid w:val="0011430F"/>
    <w:rsid w:val="001352F4"/>
    <w:rsid w:val="0014230E"/>
    <w:rsid w:val="0014719B"/>
    <w:rsid w:val="001628E7"/>
    <w:rsid w:val="00180E19"/>
    <w:rsid w:val="002009D4"/>
    <w:rsid w:val="0021464B"/>
    <w:rsid w:val="00214BCE"/>
    <w:rsid w:val="002239B6"/>
    <w:rsid w:val="00253E39"/>
    <w:rsid w:val="002740A1"/>
    <w:rsid w:val="00297549"/>
    <w:rsid w:val="00330082"/>
    <w:rsid w:val="0033798D"/>
    <w:rsid w:val="003716D7"/>
    <w:rsid w:val="00373A19"/>
    <w:rsid w:val="00391DBB"/>
    <w:rsid w:val="003C5BD1"/>
    <w:rsid w:val="003F24AB"/>
    <w:rsid w:val="004038E7"/>
    <w:rsid w:val="00413A5C"/>
    <w:rsid w:val="00442602"/>
    <w:rsid w:val="00454EDC"/>
    <w:rsid w:val="004600BD"/>
    <w:rsid w:val="004F028B"/>
    <w:rsid w:val="00543BA2"/>
    <w:rsid w:val="0055295E"/>
    <w:rsid w:val="00560CD6"/>
    <w:rsid w:val="005A77DD"/>
    <w:rsid w:val="005B4BDE"/>
    <w:rsid w:val="005B7C70"/>
    <w:rsid w:val="005D0C9E"/>
    <w:rsid w:val="006032D0"/>
    <w:rsid w:val="00607FCC"/>
    <w:rsid w:val="00611255"/>
    <w:rsid w:val="00631058"/>
    <w:rsid w:val="00631079"/>
    <w:rsid w:val="0065525A"/>
    <w:rsid w:val="0069760A"/>
    <w:rsid w:val="006A38B3"/>
    <w:rsid w:val="0074225F"/>
    <w:rsid w:val="0075476C"/>
    <w:rsid w:val="007722E3"/>
    <w:rsid w:val="0078465C"/>
    <w:rsid w:val="007851E9"/>
    <w:rsid w:val="00787789"/>
    <w:rsid w:val="00790B7C"/>
    <w:rsid w:val="007E7476"/>
    <w:rsid w:val="00800F23"/>
    <w:rsid w:val="00821ED2"/>
    <w:rsid w:val="00841C4F"/>
    <w:rsid w:val="00844419"/>
    <w:rsid w:val="0085214A"/>
    <w:rsid w:val="008878F4"/>
    <w:rsid w:val="008A1F02"/>
    <w:rsid w:val="008D43C5"/>
    <w:rsid w:val="00951485"/>
    <w:rsid w:val="009A4281"/>
    <w:rsid w:val="009A5C1C"/>
    <w:rsid w:val="009B18B8"/>
    <w:rsid w:val="009E574F"/>
    <w:rsid w:val="00A422BD"/>
    <w:rsid w:val="00AA25C0"/>
    <w:rsid w:val="00AA5D44"/>
    <w:rsid w:val="00AC21D5"/>
    <w:rsid w:val="00AC70E2"/>
    <w:rsid w:val="00AE7BAD"/>
    <w:rsid w:val="00B11BC6"/>
    <w:rsid w:val="00B174A3"/>
    <w:rsid w:val="00B36BCB"/>
    <w:rsid w:val="00B63C9D"/>
    <w:rsid w:val="00B67AF6"/>
    <w:rsid w:val="00BA7333"/>
    <w:rsid w:val="00BB16C0"/>
    <w:rsid w:val="00C1223B"/>
    <w:rsid w:val="00C33887"/>
    <w:rsid w:val="00C601C7"/>
    <w:rsid w:val="00C60212"/>
    <w:rsid w:val="00C66F4D"/>
    <w:rsid w:val="00C875F3"/>
    <w:rsid w:val="00C87DC5"/>
    <w:rsid w:val="00CB6E2F"/>
    <w:rsid w:val="00D122C4"/>
    <w:rsid w:val="00D1461F"/>
    <w:rsid w:val="00D2238A"/>
    <w:rsid w:val="00D26F4F"/>
    <w:rsid w:val="00D27EF0"/>
    <w:rsid w:val="00D50989"/>
    <w:rsid w:val="00D56535"/>
    <w:rsid w:val="00D6049B"/>
    <w:rsid w:val="00DE5140"/>
    <w:rsid w:val="00E23C9E"/>
    <w:rsid w:val="00E34206"/>
    <w:rsid w:val="00E35DAB"/>
    <w:rsid w:val="00E60358"/>
    <w:rsid w:val="00E82061"/>
    <w:rsid w:val="00E821E7"/>
    <w:rsid w:val="00E90A4D"/>
    <w:rsid w:val="00E96E9C"/>
    <w:rsid w:val="00EA6EFF"/>
    <w:rsid w:val="00EB2B00"/>
    <w:rsid w:val="00F254F9"/>
    <w:rsid w:val="00F71021"/>
    <w:rsid w:val="00F7192F"/>
    <w:rsid w:val="00F81371"/>
    <w:rsid w:val="00F87D5B"/>
    <w:rsid w:val="00F9421E"/>
    <w:rsid w:val="00FE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6DBDE"/>
  <w15:chartTrackingRefBased/>
  <w15:docId w15:val="{924813A7-2898-49EF-9EA9-E5685DD4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43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3BA2"/>
  </w:style>
  <w:style w:type="paragraph" w:styleId="Fuzeile">
    <w:name w:val="footer"/>
    <w:basedOn w:val="Standard"/>
    <w:link w:val="FuzeileZchn"/>
    <w:uiPriority w:val="99"/>
    <w:unhideWhenUsed/>
    <w:rsid w:val="00543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3BA2"/>
  </w:style>
  <w:style w:type="paragraph" w:customStyle="1" w:styleId="Default">
    <w:name w:val="Default"/>
    <w:rsid w:val="00543B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AA25C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7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70E2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9760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9760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9760A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69760A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D0C9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D0C9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D0C9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C9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C9E"/>
    <w:rPr>
      <w:b/>
      <w:bCs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E7BA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B16C0"/>
    <w:pPr>
      <w:spacing w:after="0" w:line="240" w:lineRule="auto"/>
    </w:p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96E9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0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-berlin.de/forschung/service/foerderung/fk/index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ansfer@forschung.fu-berlin.de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u-berlin.de/forschung/service/patente-und-lizenzen/media/IP-Leitlinien_PuLS_Version_AS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51B1B-DA82-428C-9ED8-78859770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3440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Wenske, Dirk</dc:creator>
  <cp:keywords/>
  <dc:description/>
  <cp:lastModifiedBy>Schmidt, Michelle</cp:lastModifiedBy>
  <cp:revision>3</cp:revision>
  <cp:lastPrinted>2023-04-26T08:14:00Z</cp:lastPrinted>
  <dcterms:created xsi:type="dcterms:W3CDTF">2025-07-10T12:41:00Z</dcterms:created>
  <dcterms:modified xsi:type="dcterms:W3CDTF">2025-07-10T13:25:00Z</dcterms:modified>
</cp:coreProperties>
</file>