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7DD5" w14:textId="77777777" w:rsidR="00E90A4D" w:rsidRPr="000E6261" w:rsidRDefault="00E90A4D">
      <w:pPr>
        <w:rPr>
          <w:lang w:val="en-US"/>
        </w:rPr>
      </w:pPr>
      <w:r w:rsidRPr="000E6261">
        <w:rPr>
          <w:lang w:val="en-US"/>
        </w:rPr>
        <w:t xml:space="preserve"> </w:t>
      </w:r>
    </w:p>
    <w:p w14:paraId="7524EB8D" w14:textId="77777777" w:rsidR="00C92E24" w:rsidRPr="00C0209B" w:rsidRDefault="00C92E24" w:rsidP="00C92E24">
      <w:pPr>
        <w:rPr>
          <w:lang w:val="en-US"/>
        </w:rPr>
      </w:pPr>
      <w:r w:rsidRPr="00C0209B">
        <w:rPr>
          <w:rFonts w:ascii="NexusSans-Regular" w:hAnsi="NexusSans-Regular"/>
          <w:b/>
          <w:sz w:val="32"/>
          <w:lang w:val="en-US"/>
        </w:rPr>
        <w:t>Information for Applicants</w:t>
      </w:r>
    </w:p>
    <w:p w14:paraId="330FEF1F" w14:textId="77777777" w:rsidR="00E90A4D" w:rsidRPr="00C92E24" w:rsidRDefault="00E90A4D">
      <w:pPr>
        <w:rPr>
          <w:rFonts w:ascii="NexusSans-Regular" w:hAnsi="NexusSans-Regular"/>
          <w:b/>
          <w:sz w:val="28"/>
          <w:lang w:val="en-US"/>
        </w:rPr>
      </w:pPr>
      <w:r w:rsidRPr="00E90A4D">
        <w:rPr>
          <w:rFonts w:ascii="NexusSans-Regular" w:hAnsi="NexusSans-Regular"/>
          <w:noProof/>
          <w:color w:val="99CC00"/>
          <w:sz w:val="56"/>
          <w:lang w:eastAsia="de-DE"/>
        </w:rPr>
        <mc:AlternateContent>
          <mc:Choice Requires="wps">
            <w:drawing>
              <wp:anchor distT="45720" distB="45720" distL="114300" distR="114300" simplePos="0" relativeHeight="251661312" behindDoc="0" locked="0" layoutInCell="1" allowOverlap="1" wp14:anchorId="165E9026" wp14:editId="44CCB85A">
                <wp:simplePos x="0" y="0"/>
                <wp:positionH relativeFrom="margin">
                  <wp:posOffset>34925</wp:posOffset>
                </wp:positionH>
                <wp:positionV relativeFrom="paragraph">
                  <wp:posOffset>123190</wp:posOffset>
                </wp:positionV>
                <wp:extent cx="397510" cy="627380"/>
                <wp:effectExtent l="0" t="0" r="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627380"/>
                        </a:xfrm>
                        <a:prstGeom prst="rect">
                          <a:avLst/>
                        </a:prstGeom>
                        <a:noFill/>
                        <a:ln w="9525">
                          <a:noFill/>
                          <a:miter lim="800000"/>
                          <a:headEnd/>
                          <a:tailEnd/>
                        </a:ln>
                      </wps:spPr>
                      <wps:txbx>
                        <w:txbxContent>
                          <w:p w14:paraId="049703C0" w14:textId="77777777" w:rsidR="00E90A4D" w:rsidRPr="00543BA2" w:rsidRDefault="00951485">
                            <w:pPr>
                              <w:rPr>
                                <w:rFonts w:ascii="NexusSans-Regular" w:hAnsi="NexusSans-Regular"/>
                                <w:b/>
                                <w:color w:val="FFFFFF" w:themeColor="background1"/>
                                <w:sz w:val="72"/>
                              </w:rPr>
                            </w:pPr>
                            <w:r>
                              <w:rPr>
                                <w:rFonts w:ascii="NexusSans-Regular" w:hAnsi="NexusSans-Regular"/>
                                <w:b/>
                                <w:color w:val="FFFFFF" w:themeColor="background1"/>
                                <w:sz w:val="7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E9026" id="_x0000_t202" coordsize="21600,21600" o:spt="202" path="m,l,21600r21600,l21600,xe">
                <v:stroke joinstyle="miter"/>
                <v:path gradientshapeok="t" o:connecttype="rect"/>
              </v:shapetype>
              <v:shape id="Textfeld 2" o:spid="_x0000_s1026" type="#_x0000_t202" style="position:absolute;margin-left:2.75pt;margin-top:9.7pt;width:31.3pt;height:4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" filled="f" stroked="f">
                <v:textbox>
                  <w:txbxContent>
                    <w:p w14:paraId="049703C0" w14:textId="77777777" w:rsidR="00E90A4D" w:rsidRPr="00543BA2" w:rsidRDefault="00951485">
                      <w:pPr>
                        <w:rPr>
                          <w:rFonts w:ascii="NexusSans-Regular" w:hAnsi="NexusSans-Regular"/>
                          <w:b/>
                          <w:color w:val="FFFFFF" w:themeColor="background1"/>
                          <w:sz w:val="72"/>
                        </w:rPr>
                      </w:pPr>
                      <w:r>
                        <w:rPr>
                          <w:rFonts w:ascii="NexusSans-Regular" w:hAnsi="NexusSans-Regular"/>
                          <w:b/>
                          <w:color w:val="FFFFFF" w:themeColor="background1"/>
                          <w:sz w:val="72"/>
                        </w:rPr>
                        <w:t>5</w:t>
                      </w:r>
                    </w:p>
                  </w:txbxContent>
                </v:textbox>
                <w10:wrap type="square" anchorx="margin"/>
              </v:shape>
            </w:pict>
          </mc:Fallback>
        </mc:AlternateContent>
      </w:r>
    </w:p>
    <w:p w14:paraId="05554178" w14:textId="424AFA39" w:rsidR="00E90A4D" w:rsidRPr="00C92E24" w:rsidRDefault="00E90A4D">
      <w:pPr>
        <w:rPr>
          <w:rFonts w:ascii="NexusSans-Regular" w:hAnsi="NexusSans-Regular"/>
          <w:color w:val="808080" w:themeColor="background1" w:themeShade="80"/>
          <w:sz w:val="56"/>
          <w:lang w:val="en-US"/>
        </w:rPr>
      </w:pPr>
      <w:r w:rsidRPr="00543BA2">
        <w:rPr>
          <w:noProof/>
          <w:color w:val="808080" w:themeColor="background1" w:themeShade="80"/>
          <w:lang w:eastAsia="de-DE"/>
        </w:rPr>
        <mc:AlternateContent>
          <mc:Choice Requires="wps">
            <w:drawing>
              <wp:anchor distT="0" distB="0" distL="114300" distR="114300" simplePos="0" relativeHeight="251659264" behindDoc="0" locked="0" layoutInCell="1" allowOverlap="1" wp14:anchorId="7CC93786" wp14:editId="4E63FFEC">
                <wp:simplePos x="0" y="0"/>
                <wp:positionH relativeFrom="margin">
                  <wp:align>left</wp:align>
                </wp:positionH>
                <wp:positionV relativeFrom="paragraph">
                  <wp:posOffset>8255</wp:posOffset>
                </wp:positionV>
                <wp:extent cx="431800" cy="431800"/>
                <wp:effectExtent l="0" t="0" r="6350" b="6350"/>
                <wp:wrapNone/>
                <wp:docPr id="1" name="Ellipse 1"/>
                <wp:cNvGraphicFramePr/>
                <a:graphic xmlns:a="http://schemas.openxmlformats.org/drawingml/2006/main">
                  <a:graphicData uri="http://schemas.microsoft.com/office/word/2010/wordprocessingShape">
                    <wps:wsp>
                      <wps:cNvSpPr/>
                      <wps:spPr>
                        <a:xfrm>
                          <a:off x="0" y="0"/>
                          <a:ext cx="431800" cy="4318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EA8A7" id="Ellipse 1" o:spid="_x0000_s1026" style="position:absolute;margin-left:0;margin-top:.65pt;width:34pt;height: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" fillcolor="#7f7f7f [1612]" stroked="f" strokeweight="1pt">
                <v:stroke joinstyle="miter"/>
                <w10:wrap anchorx="margin"/>
              </v:oval>
            </w:pict>
          </mc:Fallback>
        </mc:AlternateContent>
      </w:r>
      <w:r w:rsidRPr="00C92E24">
        <w:rPr>
          <w:rFonts w:ascii="NexusSans-Regular" w:hAnsi="NexusSans-Regular"/>
          <w:color w:val="99CC00"/>
          <w:sz w:val="56"/>
          <w:lang w:val="en-US"/>
        </w:rPr>
        <w:t xml:space="preserve"> </w:t>
      </w:r>
      <w:r w:rsidR="00C92E24" w:rsidRPr="00C0209B">
        <w:rPr>
          <w:rFonts w:ascii="NexusSans-Regular" w:hAnsi="NexusSans-Regular"/>
          <w:color w:val="808080" w:themeColor="background1" w:themeShade="80"/>
          <w:sz w:val="48"/>
          <w:lang w:val="en-US"/>
        </w:rPr>
        <w:t>Funding Line: TRANSFER</w:t>
      </w:r>
    </w:p>
    <w:p w14:paraId="3F45D1E6" w14:textId="77777777" w:rsidR="00C92E24" w:rsidRPr="00C92E24" w:rsidRDefault="00C92E24" w:rsidP="00C92E24">
      <w:pPr>
        <w:jc w:val="both"/>
        <w:rPr>
          <w:rFonts w:ascii="NexusSans-Regular" w:hAnsi="NexusSans-Regular" w:cs="Arial"/>
          <w:color w:val="000000" w:themeColor="text1"/>
          <w:sz w:val="20"/>
          <w:lang w:val="en-US"/>
        </w:rPr>
      </w:pPr>
      <w:r w:rsidRPr="00C92E24">
        <w:rPr>
          <w:rFonts w:ascii="NexusSans-Regular" w:hAnsi="NexusSans-Regular"/>
          <w:color w:val="000000" w:themeColor="text1"/>
          <w:sz w:val="20"/>
          <w:lang w:val="en-US"/>
        </w:rPr>
        <w:t>The TRANSFER funding line is part of the integrated research funding framework and is designed for the purposes of validating research findings for their later transfer and practical application and/or preparing them for commercial exploitation. Initiative grants under the TRANSFER funding line are allocated by the Transfer Committee for the further development of intellectual property-based technologies (especially technical copyrights and in particular patents and registration), copyright protected works and software, expertise/expertise-based material</w:t>
      </w:r>
      <w:r w:rsidRPr="00D1461F">
        <w:rPr>
          <w:rFonts w:ascii="NexusSans-Regular" w:hAnsi="NexusSans-Regular" w:cs="Arial"/>
          <w:color w:val="000000" w:themeColor="text1"/>
          <w:sz w:val="20"/>
        </w:rPr>
        <w:footnoteReference w:id="1"/>
      </w:r>
      <w:r w:rsidRPr="00C92E24">
        <w:rPr>
          <w:rFonts w:ascii="NexusSans-Regular" w:hAnsi="NexusSans-Regular"/>
          <w:color w:val="000000" w:themeColor="text1"/>
          <w:sz w:val="20"/>
          <w:lang w:val="en-US"/>
        </w:rPr>
        <w:t xml:space="preserve">) in order to help bridge the gap between basic research and practical applications for the benefit of wider society. Patent applications, market research, competitive analyses, and prototype creation are eligible for funding. The allocated funding lays the groundwork for acquiring third-party funding (public application-oriented/exploitation-oriented funding programs, commissioned research with companies), and/or generating revenue through commercial exploitation in the medium term, including via research-based spin-offs. The funding line supports both technical and social innovations. Social innovations are new social practices and organizational models that aim to find viable and sustainable solutions to the challenges we face as a society. Examples include multi-generation housing blocks, carsharing services, and reusable containers for food and beverages. </w:t>
      </w:r>
    </w:p>
    <w:p w14:paraId="74924941" w14:textId="77777777" w:rsidR="00C92E24" w:rsidRPr="00C92E24" w:rsidRDefault="00C92E24" w:rsidP="00C92E24">
      <w:pPr>
        <w:jc w:val="both"/>
        <w:rPr>
          <w:rFonts w:ascii="NexusSans-Regular" w:hAnsi="NexusSans-Regular" w:cs="Arial"/>
          <w:color w:val="000000" w:themeColor="text1"/>
          <w:sz w:val="20"/>
          <w:lang w:val="en-US"/>
        </w:rPr>
      </w:pPr>
      <w:r w:rsidRPr="00C92E24">
        <w:rPr>
          <w:rFonts w:ascii="NexusSans-Regular" w:hAnsi="NexusSans-Regular"/>
          <w:color w:val="000000" w:themeColor="text1"/>
          <w:sz w:val="20"/>
          <w:lang w:val="en-US"/>
        </w:rPr>
        <w:t xml:space="preserve">The required coaching module forms a core element of the funding line and focuses on developing the participating researcher’s entrepreneurial skills through consistent coaching, further training, and workshops. </w:t>
      </w:r>
    </w:p>
    <w:p w14:paraId="255A24B8" w14:textId="77777777" w:rsidR="00C92E24" w:rsidRPr="00C0209B" w:rsidRDefault="00C92E24" w:rsidP="00C92E24">
      <w:pPr>
        <w:spacing w:before="360"/>
        <w:rPr>
          <w:rFonts w:ascii="NexusSans-Regular" w:hAnsi="NexusSans-Regular" w:cs="Arial"/>
          <w:b/>
          <w:color w:val="000000" w:themeColor="text1"/>
          <w:sz w:val="20"/>
          <w:lang w:val="en-US"/>
        </w:rPr>
      </w:pPr>
      <w:r w:rsidRPr="00C0209B">
        <w:rPr>
          <w:rFonts w:ascii="NexusSans-Regular" w:hAnsi="NexusSans-Regular"/>
          <w:b/>
          <w:color w:val="000000" w:themeColor="text1"/>
          <w:sz w:val="20"/>
          <w:lang w:val="en-US"/>
        </w:rPr>
        <w:t>Scope of Funding</w:t>
      </w:r>
    </w:p>
    <w:p w14:paraId="0E3F5BD2" w14:textId="77777777" w:rsidR="00C92E24" w:rsidRPr="00C0209B" w:rsidRDefault="00C92E24" w:rsidP="00C92E24">
      <w:pPr>
        <w:rPr>
          <w:rFonts w:ascii="NexusSans-Regular" w:hAnsi="NexusSans-Regular" w:cs="Arial"/>
          <w:color w:val="000000" w:themeColor="text1"/>
          <w:sz w:val="20"/>
          <w:lang w:val="en-US"/>
        </w:rPr>
      </w:pPr>
      <w:r w:rsidRPr="00C0209B">
        <w:rPr>
          <w:rFonts w:ascii="NexusSans-Regular" w:hAnsi="NexusSans-Regular"/>
          <w:color w:val="000000" w:themeColor="text1"/>
          <w:sz w:val="20"/>
          <w:lang w:val="en-US"/>
        </w:rPr>
        <w:t xml:space="preserve">Up to 40,000 euros, one-time payment. </w:t>
      </w:r>
    </w:p>
    <w:p w14:paraId="2FB24AE0" w14:textId="77777777" w:rsidR="00C92E24" w:rsidRPr="00C0209B" w:rsidRDefault="00C92E24" w:rsidP="00C92E24">
      <w:pPr>
        <w:spacing w:before="360"/>
        <w:rPr>
          <w:rFonts w:ascii="NexusSans-Regular" w:hAnsi="NexusSans-Regular" w:cs="Arial"/>
          <w:b/>
          <w:color w:val="000000" w:themeColor="text1"/>
          <w:sz w:val="20"/>
          <w:lang w:val="en-US"/>
        </w:rPr>
      </w:pPr>
      <w:r w:rsidRPr="00C0209B">
        <w:rPr>
          <w:rFonts w:ascii="NexusSans-Regular" w:hAnsi="NexusSans-Regular"/>
          <w:b/>
          <w:color w:val="000000" w:themeColor="text1"/>
          <w:sz w:val="20"/>
          <w:lang w:val="en-US"/>
        </w:rPr>
        <w:t>Use of Funds</w:t>
      </w:r>
    </w:p>
    <w:p w14:paraId="65EF4711" w14:textId="77777777" w:rsidR="00C92E24" w:rsidRPr="00C0209B" w:rsidRDefault="00C92E24" w:rsidP="00C92E24">
      <w:pPr>
        <w:jc w:val="both"/>
        <w:rPr>
          <w:rFonts w:ascii="NexusSans-Regular" w:hAnsi="NexusSans-Regular" w:cs="Arial"/>
          <w:color w:val="000000" w:themeColor="text1"/>
          <w:sz w:val="20"/>
          <w:lang w:val="en-US"/>
        </w:rPr>
      </w:pPr>
      <w:r w:rsidRPr="00C0209B">
        <w:rPr>
          <w:rFonts w:ascii="NexusSans-Regular" w:hAnsi="NexusSans-Regular"/>
          <w:color w:val="000000" w:themeColor="text1"/>
          <w:sz w:val="20"/>
          <w:lang w:val="en-US"/>
        </w:rPr>
        <w:t>The following modules can be applied for (see also: supplementary information sheets on the individual modules):</w:t>
      </w:r>
    </w:p>
    <w:p w14:paraId="27865342" w14:textId="77777777" w:rsidR="00C92E24" w:rsidRPr="00C0209B" w:rsidRDefault="00C92E24" w:rsidP="00C92E24">
      <w:pPr>
        <w:pStyle w:val="Listenabsatz"/>
        <w:numPr>
          <w:ilvl w:val="0"/>
          <w:numId w:val="2"/>
        </w:numPr>
        <w:jc w:val="both"/>
        <w:rPr>
          <w:rFonts w:ascii="NexusSans-Regular" w:hAnsi="NexusSans-Regular" w:cs="Arial"/>
          <w:color w:val="000000" w:themeColor="text1"/>
          <w:sz w:val="20"/>
          <w:lang w:val="en-US"/>
        </w:rPr>
      </w:pPr>
      <w:r w:rsidRPr="00C0209B">
        <w:rPr>
          <w:rFonts w:ascii="NexusSans-Regular" w:hAnsi="NexusSans-Regular"/>
          <w:color w:val="000000" w:themeColor="text1"/>
          <w:sz w:val="20"/>
          <w:lang w:val="en-US"/>
        </w:rPr>
        <w:t>B – Basis (material resources, contracts for work and services, project-related travel expenses);</w:t>
      </w:r>
    </w:p>
    <w:p w14:paraId="6734DD05" w14:textId="77777777" w:rsidR="00C92E24" w:rsidRPr="00C0209B" w:rsidRDefault="00C92E24" w:rsidP="00C92E24">
      <w:pPr>
        <w:pStyle w:val="Listenabsatz"/>
        <w:numPr>
          <w:ilvl w:val="0"/>
          <w:numId w:val="2"/>
        </w:numPr>
        <w:jc w:val="both"/>
        <w:rPr>
          <w:rFonts w:ascii="NexusSans-Regular" w:hAnsi="NexusSans-Regular" w:cs="Arial"/>
          <w:color w:val="000000" w:themeColor="text1"/>
          <w:sz w:val="20"/>
          <w:lang w:val="en-US"/>
        </w:rPr>
      </w:pPr>
      <w:r w:rsidRPr="00C0209B">
        <w:rPr>
          <w:rFonts w:ascii="NexusSans-Regular" w:hAnsi="NexusSans-Regular"/>
          <w:color w:val="000000" w:themeColor="text1"/>
          <w:sz w:val="20"/>
          <w:lang w:val="en-US"/>
        </w:rPr>
        <w:t>P – Personnel (extending/supplementing existing employment contracts)</w:t>
      </w:r>
    </w:p>
    <w:p w14:paraId="7210050B" w14:textId="77777777" w:rsidR="00C92E24" w:rsidRPr="00D2238A" w:rsidRDefault="00C92E24" w:rsidP="00C92E24">
      <w:pPr>
        <w:pStyle w:val="Listenabsatz"/>
        <w:numPr>
          <w:ilvl w:val="0"/>
          <w:numId w:val="2"/>
        </w:numPr>
        <w:jc w:val="both"/>
        <w:rPr>
          <w:rFonts w:ascii="NexusSans-Regular" w:hAnsi="NexusSans-Regular" w:cs="Arial"/>
          <w:color w:val="000000" w:themeColor="text1"/>
          <w:sz w:val="20"/>
        </w:rPr>
      </w:pPr>
      <w:r>
        <w:rPr>
          <w:rFonts w:ascii="NexusSans-Regular" w:hAnsi="NexusSans-Regular"/>
          <w:color w:val="000000" w:themeColor="text1"/>
          <w:sz w:val="20"/>
        </w:rPr>
        <w:t>C – Transfer Coaching</w:t>
      </w:r>
    </w:p>
    <w:p w14:paraId="64888E72" w14:textId="77777777" w:rsidR="00C92E24" w:rsidRPr="00C92E24" w:rsidRDefault="00C92E24" w:rsidP="00C92E24">
      <w:pPr>
        <w:spacing w:before="360"/>
        <w:rPr>
          <w:rFonts w:ascii="NexusSans-Regular" w:hAnsi="NexusSans-Regular"/>
          <w:b/>
          <w:color w:val="000000" w:themeColor="text1"/>
          <w:sz w:val="20"/>
          <w:lang w:val="en-US"/>
        </w:rPr>
      </w:pPr>
      <w:r w:rsidRPr="00C92E24">
        <w:rPr>
          <w:rFonts w:ascii="NexusSans-Regular" w:hAnsi="NexusSans-Regular"/>
          <w:b/>
          <w:color w:val="000000" w:themeColor="text1"/>
          <w:sz w:val="20"/>
          <w:lang w:val="en-US"/>
        </w:rPr>
        <w:t xml:space="preserve">Eligibility </w:t>
      </w:r>
    </w:p>
    <w:p w14:paraId="6542A8D8" w14:textId="77777777" w:rsidR="00C92E24" w:rsidRPr="00C92E24" w:rsidRDefault="00C92E24" w:rsidP="00C92E24">
      <w:pPr>
        <w:jc w:val="both"/>
        <w:rPr>
          <w:rFonts w:ascii="NexusSans-Regular" w:hAnsi="NexusSans-Regular" w:cs="Arial"/>
          <w:color w:val="000000" w:themeColor="text1"/>
          <w:sz w:val="20"/>
          <w:lang w:val="en-US"/>
        </w:rPr>
      </w:pPr>
      <w:r w:rsidRPr="00C92E24">
        <w:rPr>
          <w:rFonts w:ascii="NexusSans-Regular" w:hAnsi="NexusSans-Regular"/>
          <w:color w:val="000000" w:themeColor="text1"/>
          <w:sz w:val="20"/>
          <w:lang w:val="en-US"/>
        </w:rPr>
        <w:t xml:space="preserve">Any researcher with a doctorate who is a member of Freie Universität Berlin is eligible to apply. The applicant must have an ongoing employment relationship with Freie Universität Berlin for the duration of the funding period. Tangible, definable intellectual property-based research results that show particular promise in terms of potential exploitation must already be in existence at the time of application. Freie Universität Berlin as an institution must have a relevant share of these property rights and/or rights of exploitation at its disposal. A concise final report must be sent to the Transfer Committee office after the project has been completed and before a new application is submitted for the funding line, together with concrete steps concerning the further procurement of application-related and/or exploitation-related external funding (or an application for such </w:t>
      </w:r>
      <w:r w:rsidRPr="00C92E24">
        <w:rPr>
          <w:rFonts w:ascii="NexusSans-Regular" w:hAnsi="NexusSans-Regular"/>
          <w:color w:val="000000" w:themeColor="text1"/>
          <w:sz w:val="20"/>
          <w:lang w:val="en-US"/>
        </w:rPr>
        <w:lastRenderedPageBreak/>
        <w:t>funding) and/or regarding commercialization partners. If further exploitation seems ill-advised after validation, then this must be detailed in writing.</w:t>
      </w:r>
    </w:p>
    <w:p w14:paraId="1C5D29E2" w14:textId="77777777" w:rsidR="00C92E24" w:rsidRPr="00C0209B" w:rsidRDefault="00C92E24" w:rsidP="00C92E24">
      <w:pPr>
        <w:spacing w:before="360"/>
        <w:rPr>
          <w:rFonts w:ascii="NexusSans-Regular" w:hAnsi="NexusSans-Regular" w:cs="Arial"/>
          <w:b/>
          <w:color w:val="000000" w:themeColor="text1"/>
          <w:sz w:val="20"/>
          <w:lang w:val="en-US"/>
        </w:rPr>
      </w:pPr>
      <w:r w:rsidRPr="00C0209B">
        <w:rPr>
          <w:rFonts w:ascii="NexusSans-Regular" w:hAnsi="NexusSans-Regular"/>
          <w:b/>
          <w:color w:val="000000" w:themeColor="text1"/>
          <w:sz w:val="20"/>
          <w:lang w:val="en-US"/>
        </w:rPr>
        <w:t xml:space="preserve">Application Process </w:t>
      </w:r>
    </w:p>
    <w:p w14:paraId="04A7DDE1" w14:textId="3830947F" w:rsidR="00C92E24" w:rsidRPr="00C92E24" w:rsidRDefault="00C92E24" w:rsidP="00C92E24">
      <w:pPr>
        <w:jc w:val="both"/>
        <w:rPr>
          <w:rFonts w:ascii="NexusSans-Regular" w:hAnsi="NexusSans-Regular" w:cs="Arial"/>
          <w:b/>
          <w:color w:val="000000" w:themeColor="text1"/>
          <w:sz w:val="20"/>
          <w:szCs w:val="20"/>
          <w:lang w:val="en-US"/>
        </w:rPr>
      </w:pPr>
      <w:r w:rsidRPr="00C92E24">
        <w:rPr>
          <w:rFonts w:ascii="NexusSans-Regular" w:hAnsi="NexusSans-Regular"/>
          <w:sz w:val="20"/>
          <w:szCs w:val="20"/>
          <w:lang w:val="en-US"/>
        </w:rPr>
        <w:t xml:space="preserve">Applications can be submitted electronically to the office </w:t>
      </w:r>
      <w:r w:rsidR="00FB30D1">
        <w:rPr>
          <w:rFonts w:ascii="NexusSans-Regular" w:hAnsi="NexusSans-Regular"/>
          <w:sz w:val="20"/>
          <w:szCs w:val="20"/>
          <w:lang w:val="en-US"/>
        </w:rPr>
        <w:t xml:space="preserve">of the Transfer Committee </w:t>
      </w:r>
      <w:r w:rsidRPr="00C92E24">
        <w:rPr>
          <w:rFonts w:ascii="NexusSans-Regular" w:hAnsi="NexusSans-Regular"/>
          <w:sz w:val="20"/>
          <w:szCs w:val="20"/>
          <w:lang w:val="en-US"/>
        </w:rPr>
        <w:t xml:space="preserve">via </w:t>
      </w:r>
      <w:hyperlink r:id="rId8" w:history="1">
        <w:r w:rsidR="000E6261">
          <w:rPr>
            <w:rStyle w:val="Hyperlink"/>
            <w:rFonts w:ascii="NexusSans-Regular" w:hAnsi="NexusSans-Regular"/>
            <w:sz w:val="20"/>
            <w:szCs w:val="20"/>
            <w:lang w:val="en-US"/>
          </w:rPr>
          <w:t>transfer@forschung.fu-berlin.de</w:t>
        </w:r>
      </w:hyperlink>
      <w:r w:rsidR="000E6261">
        <w:rPr>
          <w:rFonts w:ascii="NexusSans-Regular" w:hAnsi="NexusSans-Regular"/>
          <w:sz w:val="20"/>
          <w:szCs w:val="20"/>
          <w:lang w:val="en-US"/>
        </w:rPr>
        <w:t>.</w:t>
      </w:r>
      <w:r w:rsidRPr="00C92E24">
        <w:rPr>
          <w:rFonts w:ascii="NexusSans-Regular" w:hAnsi="NexusSans-Regular"/>
          <w:sz w:val="20"/>
          <w:szCs w:val="20"/>
          <w:lang w:val="en-US"/>
        </w:rPr>
        <w:t xml:space="preserve">The  </w:t>
      </w:r>
      <w:hyperlink r:id="rId9" w:history="1">
        <w:r w:rsidRPr="00C92E24">
          <w:rPr>
            <w:rStyle w:val="Hyperlink"/>
            <w:rFonts w:ascii="NexusSans-Regular" w:hAnsi="NexusSans-Regular"/>
            <w:sz w:val="20"/>
            <w:szCs w:val="20"/>
            <w:lang w:val="en-US"/>
          </w:rPr>
          <w:t>application deadlines</w:t>
        </w:r>
      </w:hyperlink>
      <w:r w:rsidRPr="00C92E24">
        <w:rPr>
          <w:rFonts w:ascii="NexusSans-Regular" w:hAnsi="NexusSans-Regular"/>
          <w:sz w:val="20"/>
          <w:szCs w:val="20"/>
          <w:lang w:val="en-US"/>
        </w:rPr>
        <w:t xml:space="preserve"> are stated on the homepage. The Transfer Committee will deliberate over the applications during its regular meetings. A consultation with the Patent and Licensing Service </w:t>
      </w:r>
      <w:proofErr w:type="gramStart"/>
      <w:r w:rsidRPr="00C92E24">
        <w:rPr>
          <w:rFonts w:ascii="NexusSans-Regular" w:hAnsi="NexusSans-Regular"/>
          <w:sz w:val="20"/>
          <w:szCs w:val="20"/>
          <w:lang w:val="en-US"/>
        </w:rPr>
        <w:t>and</w:t>
      </w:r>
      <w:proofErr w:type="gramEnd"/>
      <w:r w:rsidRPr="00C92E24">
        <w:rPr>
          <w:rFonts w:ascii="NexusSans-Regular" w:hAnsi="NexusSans-Regular"/>
          <w:sz w:val="20"/>
          <w:szCs w:val="20"/>
          <w:lang w:val="en-US"/>
        </w:rPr>
        <w:t xml:space="preserve"> </w:t>
      </w:r>
      <w:r w:rsidR="00FB30D1">
        <w:rPr>
          <w:rFonts w:ascii="NexusSans-Regular" w:hAnsi="NexusSans-Regular"/>
          <w:sz w:val="20"/>
          <w:szCs w:val="20"/>
          <w:lang w:val="en-US"/>
        </w:rPr>
        <w:t xml:space="preserve">VI A/SHIFT </w:t>
      </w:r>
      <w:r w:rsidRPr="00C92E24">
        <w:rPr>
          <w:rFonts w:ascii="NexusSans-Regular" w:hAnsi="NexusSans-Regular"/>
          <w:sz w:val="20"/>
          <w:szCs w:val="20"/>
          <w:lang w:val="en-US"/>
        </w:rPr>
        <w:t xml:space="preserve">is required prior to submitting the application; this should be carried out at least four weeks before the application is submitted to the Transfer Committee. Applications must be submitted in the correct format, together with the applicant’s CV. Applicants may submit only one application per meeting of the Transfer Committee. Any additional applications that are submitted will not be considered. </w:t>
      </w:r>
    </w:p>
    <w:p w14:paraId="0B39B832" w14:textId="77777777" w:rsidR="00C92E24" w:rsidRPr="00C0209B" w:rsidRDefault="00C92E24" w:rsidP="00C92E24">
      <w:pPr>
        <w:spacing w:before="360"/>
        <w:rPr>
          <w:rFonts w:ascii="NexusSans-Regular" w:hAnsi="NexusSans-Regular" w:cs="Arial"/>
          <w:b/>
          <w:color w:val="000000" w:themeColor="text1"/>
          <w:sz w:val="20"/>
          <w:lang w:val="en-US"/>
        </w:rPr>
      </w:pPr>
      <w:r w:rsidRPr="00C0209B">
        <w:rPr>
          <w:rFonts w:ascii="NexusSans-Regular" w:hAnsi="NexusSans-Regular"/>
          <w:b/>
          <w:color w:val="000000" w:themeColor="text1"/>
          <w:sz w:val="20"/>
          <w:lang w:val="en-US"/>
        </w:rPr>
        <w:t xml:space="preserve">Co-financing from Departments/Co-payments </w:t>
      </w:r>
    </w:p>
    <w:p w14:paraId="405C0B97" w14:textId="77777777" w:rsidR="00C92E24" w:rsidRPr="00C0209B" w:rsidRDefault="00C92E24" w:rsidP="00C92E24">
      <w:pPr>
        <w:rPr>
          <w:rFonts w:ascii="NexusSans-Regular" w:hAnsi="NexusSans-Regular" w:cs="Arial"/>
          <w:color w:val="000000" w:themeColor="text1"/>
          <w:sz w:val="20"/>
          <w:lang w:val="en-US"/>
        </w:rPr>
      </w:pPr>
      <w:r w:rsidRPr="00C0209B">
        <w:rPr>
          <w:rFonts w:ascii="NexusSans-Regular" w:hAnsi="NexusSans-Regular"/>
          <w:color w:val="000000" w:themeColor="text1"/>
          <w:sz w:val="20"/>
          <w:lang w:val="en-US"/>
        </w:rPr>
        <w:t>Co-financing is not required.</w:t>
      </w:r>
    </w:p>
    <w:p w14:paraId="2EB5FAAD" w14:textId="69B8F3CB" w:rsidR="00AA25C0" w:rsidRDefault="00AA25C0" w:rsidP="0075476C">
      <w:pPr>
        <w:rPr>
          <w:rFonts w:ascii="NexusSans-Regular" w:hAnsi="NexusSans-Regular" w:cs="Arial"/>
          <w:color w:val="000000" w:themeColor="text1"/>
          <w:sz w:val="20"/>
          <w:lang w:val="en-US"/>
        </w:rPr>
      </w:pPr>
    </w:p>
    <w:p w14:paraId="776DB112" w14:textId="462F092F" w:rsidR="00C92E24" w:rsidRDefault="00C92E24" w:rsidP="0075476C">
      <w:pPr>
        <w:rPr>
          <w:rFonts w:ascii="NexusSans-Regular" w:hAnsi="NexusSans-Regular" w:cs="Arial"/>
          <w:color w:val="000000" w:themeColor="text1"/>
          <w:sz w:val="20"/>
          <w:lang w:val="en-US"/>
        </w:rPr>
      </w:pPr>
    </w:p>
    <w:sectPr w:rsidR="00C92E2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965C" w14:textId="77777777" w:rsidR="006B0282" w:rsidRDefault="006B0282" w:rsidP="00543BA2">
      <w:pPr>
        <w:spacing w:after="0" w:line="240" w:lineRule="auto"/>
      </w:pPr>
      <w:r>
        <w:separator/>
      </w:r>
    </w:p>
  </w:endnote>
  <w:endnote w:type="continuationSeparator" w:id="0">
    <w:p w14:paraId="32072ACE" w14:textId="77777777" w:rsidR="006B0282" w:rsidRDefault="006B0282" w:rsidP="0054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usSans-Regular">
    <w:panose1 w:val="02000503040000020004"/>
    <w:charset w:val="00"/>
    <w:family w:val="auto"/>
    <w:pitch w:val="variable"/>
    <w:sig w:usb0="8000002F" w:usb1="40000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D528" w14:textId="77777777" w:rsidR="006B0282" w:rsidRDefault="006B0282" w:rsidP="00543BA2">
      <w:pPr>
        <w:spacing w:after="0" w:line="240" w:lineRule="auto"/>
      </w:pPr>
      <w:r>
        <w:separator/>
      </w:r>
    </w:p>
  </w:footnote>
  <w:footnote w:type="continuationSeparator" w:id="0">
    <w:p w14:paraId="73BBC272" w14:textId="77777777" w:rsidR="006B0282" w:rsidRDefault="006B0282" w:rsidP="00543BA2">
      <w:pPr>
        <w:spacing w:after="0" w:line="240" w:lineRule="auto"/>
      </w:pPr>
      <w:r>
        <w:continuationSeparator/>
      </w:r>
    </w:p>
  </w:footnote>
  <w:footnote w:id="1">
    <w:p w14:paraId="2B11479D" w14:textId="77777777" w:rsidR="00C92E24" w:rsidRPr="00C92E24" w:rsidRDefault="00C92E24" w:rsidP="00C92E24">
      <w:pPr>
        <w:pStyle w:val="Funotentext"/>
        <w:rPr>
          <w:lang w:val="en-US"/>
        </w:rPr>
      </w:pPr>
      <w:r>
        <w:rPr>
          <w:rStyle w:val="Funotenzeichen"/>
        </w:rPr>
        <w:footnoteRef/>
      </w:r>
      <w:r w:rsidRPr="00C92E24">
        <w:rPr>
          <w:lang w:val="en-US"/>
        </w:rPr>
        <w:t xml:space="preserve"> </w:t>
      </w:r>
      <w:r w:rsidRPr="00C92E24">
        <w:rPr>
          <w:rFonts w:ascii="NexusSans-Regular" w:hAnsi="NexusSans-Regular"/>
          <w:color w:val="000000" w:themeColor="text1"/>
          <w:sz w:val="18"/>
          <w:lang w:val="en-US"/>
        </w:rPr>
        <w:t xml:space="preserve">Please refer to: Guidelines on the Protection and Commercialization of Intellectual Property at Freie Universität Berlin: </w:t>
      </w:r>
      <w:hyperlink r:id="rId1" w:history="1">
        <w:r w:rsidRPr="00C92E24">
          <w:rPr>
            <w:rFonts w:ascii="NexusSans-Regular" w:hAnsi="NexusSans-Regular"/>
            <w:color w:val="000000" w:themeColor="text1"/>
            <w:sz w:val="18"/>
            <w:lang w:val="en-US"/>
          </w:rPr>
          <w:t>https://www.fu-berlin.de/forschung/service/patente-und-lizenzen/media/IP_leitlinien_EN.pdf</w:t>
        </w:r>
      </w:hyperlink>
      <w:r w:rsidRPr="00C92E24">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7D52" w14:textId="585EA3FD" w:rsidR="00543BA2" w:rsidRPr="00F27A8A" w:rsidRDefault="00FB30D1" w:rsidP="00543BA2">
    <w:pPr>
      <w:pStyle w:val="Default"/>
      <w:jc w:val="right"/>
      <w:rPr>
        <w:rFonts w:ascii="NexusSans-Regular" w:hAnsi="NexusSans-Regular"/>
        <w:szCs w:val="23"/>
        <w:lang w:val="en-US"/>
      </w:rPr>
    </w:pPr>
    <w:r>
      <w:rPr>
        <w:noProof/>
      </w:rPr>
      <w:drawing>
        <wp:anchor distT="0" distB="0" distL="114300" distR="114300" simplePos="0" relativeHeight="251658240" behindDoc="0" locked="0" layoutInCell="1" allowOverlap="1" wp14:anchorId="32859BB6" wp14:editId="2DAD3377">
          <wp:simplePos x="0" y="0"/>
          <wp:positionH relativeFrom="column">
            <wp:posOffset>33655</wp:posOffset>
          </wp:positionH>
          <wp:positionV relativeFrom="paragraph">
            <wp:posOffset>7620</wp:posOffset>
          </wp:positionV>
          <wp:extent cx="1162050" cy="435641"/>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35641"/>
                  </a:xfrm>
                  <a:prstGeom prst="rect">
                    <a:avLst/>
                  </a:prstGeom>
                  <a:noFill/>
                  <a:ln>
                    <a:noFill/>
                  </a:ln>
                </pic:spPr>
              </pic:pic>
            </a:graphicData>
          </a:graphic>
        </wp:anchor>
      </w:drawing>
    </w:r>
    <w:r w:rsidR="008D43C5" w:rsidRPr="00F27A8A">
      <w:rPr>
        <w:rFonts w:ascii="NexusSans-Regular" w:hAnsi="NexusSans-Regular"/>
        <w:szCs w:val="23"/>
        <w:lang w:val="en-US"/>
      </w:rPr>
      <w:t xml:space="preserve"> </w:t>
    </w:r>
    <w:r w:rsidRPr="00F27A8A">
      <w:rPr>
        <w:rFonts w:ascii="NexusSans-Regular" w:hAnsi="NexusSans-Regular"/>
        <w:szCs w:val="23"/>
        <w:lang w:val="en-US"/>
      </w:rPr>
      <w:t xml:space="preserve">Research Department </w:t>
    </w:r>
  </w:p>
  <w:p w14:paraId="64BF9484" w14:textId="1C354B5D" w:rsidR="006032D0" w:rsidRPr="00F27A8A" w:rsidRDefault="00A422BD" w:rsidP="00543BA2">
    <w:pPr>
      <w:pStyle w:val="Kopfzeile"/>
      <w:jc w:val="right"/>
      <w:rPr>
        <w:rFonts w:ascii="NexusSans-Regular" w:hAnsi="NexusSans-Regular"/>
        <w:sz w:val="18"/>
        <w:szCs w:val="23"/>
        <w:lang w:val="en-US"/>
      </w:rPr>
    </w:pPr>
    <w:r w:rsidRPr="00F27A8A">
      <w:rPr>
        <w:rFonts w:ascii="NexusSans-Regular" w:hAnsi="NexusSans-Regular"/>
        <w:sz w:val="18"/>
        <w:szCs w:val="23"/>
        <w:lang w:val="en-US"/>
      </w:rPr>
      <w:t xml:space="preserve">Team VI A: </w:t>
    </w:r>
    <w:r w:rsidR="00FB30D1">
      <w:rPr>
        <w:rFonts w:ascii="NexusSans-Regular" w:hAnsi="NexusSans-Regular"/>
        <w:sz w:val="18"/>
        <w:szCs w:val="23"/>
        <w:lang w:val="en-US"/>
      </w:rPr>
      <w:t>Innovation and Transfer/SHIFT</w:t>
    </w:r>
  </w:p>
  <w:p w14:paraId="24D0A595" w14:textId="16C09AE7" w:rsidR="00543BA2" w:rsidRPr="00F27A8A" w:rsidRDefault="00FB30D1" w:rsidP="00543BA2">
    <w:pPr>
      <w:pStyle w:val="Kopfzeile"/>
      <w:jc w:val="right"/>
      <w:rPr>
        <w:rFonts w:ascii="NexusSans-Regular" w:hAnsi="NexusSans-Regular"/>
        <w:sz w:val="16"/>
        <w:lang w:val="en-US"/>
      </w:rPr>
    </w:pPr>
    <w:r w:rsidRPr="00F27A8A">
      <w:rPr>
        <w:rFonts w:ascii="NexusSans-Regular" w:hAnsi="NexusSans-Regular"/>
        <w:sz w:val="18"/>
        <w:szCs w:val="23"/>
        <w:lang w:val="en-US"/>
      </w:rPr>
      <w:t>C</w:t>
    </w:r>
    <w:r w:rsidR="00543BA2" w:rsidRPr="00F27A8A">
      <w:rPr>
        <w:rFonts w:ascii="NexusSans-Regular" w:hAnsi="NexusSans-Regular"/>
        <w:sz w:val="18"/>
        <w:szCs w:val="23"/>
        <w:lang w:val="en-US"/>
      </w:rPr>
      <w:t>onta</w:t>
    </w:r>
    <w:r w:rsidRPr="00F27A8A">
      <w:rPr>
        <w:rFonts w:ascii="NexusSans-Regular" w:hAnsi="NexusSans-Regular"/>
        <w:sz w:val="18"/>
        <w:szCs w:val="23"/>
        <w:lang w:val="en-US"/>
      </w:rPr>
      <w:t>c</w:t>
    </w:r>
    <w:r w:rsidR="00543BA2" w:rsidRPr="00F27A8A">
      <w:rPr>
        <w:rFonts w:ascii="NexusSans-Regular" w:hAnsi="NexusSans-Regular"/>
        <w:sz w:val="18"/>
        <w:szCs w:val="23"/>
        <w:lang w:val="en-US"/>
      </w:rPr>
      <w:t xml:space="preserve">t: </w:t>
    </w:r>
    <w:r w:rsidR="00631058" w:rsidRPr="00F27A8A">
      <w:rPr>
        <w:rFonts w:ascii="NexusSans-Regular" w:hAnsi="NexusSans-Regular"/>
        <w:color w:val="0000FF"/>
        <w:sz w:val="18"/>
        <w:szCs w:val="23"/>
        <w:lang w:val="en-US"/>
      </w:rPr>
      <w:t>transfer@</w:t>
    </w:r>
    <w:r w:rsidR="000E6261" w:rsidRPr="00F27A8A">
      <w:rPr>
        <w:rFonts w:ascii="NexusSans-Regular" w:hAnsi="NexusSans-Regular"/>
        <w:color w:val="0000FF"/>
        <w:sz w:val="18"/>
        <w:szCs w:val="23"/>
        <w:lang w:val="en-US"/>
      </w:rPr>
      <w:t>forschung.</w:t>
    </w:r>
    <w:r w:rsidR="00631058" w:rsidRPr="00F27A8A">
      <w:rPr>
        <w:rFonts w:ascii="NexusSans-Regular" w:hAnsi="NexusSans-Regular"/>
        <w:color w:val="0000FF"/>
        <w:sz w:val="18"/>
        <w:szCs w:val="23"/>
        <w:lang w:val="en-US"/>
      </w:rPr>
      <w:t>fu-berlin.de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63298"/>
    <w:multiLevelType w:val="hybridMultilevel"/>
    <w:tmpl w:val="8FF4192A"/>
    <w:lvl w:ilvl="0" w:tplc="ACE0B266">
      <w:start w:val="15"/>
      <w:numFmt w:val="bullet"/>
      <w:lvlText w:val="-"/>
      <w:lvlJc w:val="left"/>
      <w:pPr>
        <w:ind w:left="720" w:hanging="360"/>
      </w:pPr>
      <w:rPr>
        <w:rFonts w:ascii="NexusSans-Regular" w:eastAsiaTheme="minorHAnsi" w:hAnsi="NexusSans-Regula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BF0E38"/>
    <w:multiLevelType w:val="hybridMultilevel"/>
    <w:tmpl w:val="10840E68"/>
    <w:lvl w:ilvl="0" w:tplc="C8502D30">
      <w:numFmt w:val="bullet"/>
      <w:lvlText w:val="-"/>
      <w:lvlJc w:val="left"/>
      <w:pPr>
        <w:ind w:left="720" w:hanging="360"/>
      </w:pPr>
      <w:rPr>
        <w:rFonts w:ascii="NexusSans-Regular" w:eastAsiaTheme="minorHAnsi" w:hAnsi="NexusSans-Regula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8661127">
    <w:abstractNumId w:val="0"/>
  </w:num>
  <w:num w:numId="2" w16cid:durableId="571042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4F"/>
    <w:rsid w:val="00011816"/>
    <w:rsid w:val="0002215D"/>
    <w:rsid w:val="000300BC"/>
    <w:rsid w:val="0003792E"/>
    <w:rsid w:val="00054F24"/>
    <w:rsid w:val="00061C6F"/>
    <w:rsid w:val="00070980"/>
    <w:rsid w:val="000D2B34"/>
    <w:rsid w:val="000E6261"/>
    <w:rsid w:val="0011430F"/>
    <w:rsid w:val="001352F4"/>
    <w:rsid w:val="0014230E"/>
    <w:rsid w:val="0014719B"/>
    <w:rsid w:val="001628E7"/>
    <w:rsid w:val="002009D4"/>
    <w:rsid w:val="0021464B"/>
    <w:rsid w:val="00214BCE"/>
    <w:rsid w:val="002239B6"/>
    <w:rsid w:val="00253E39"/>
    <w:rsid w:val="002740A1"/>
    <w:rsid w:val="00297549"/>
    <w:rsid w:val="003133A8"/>
    <w:rsid w:val="003716D7"/>
    <w:rsid w:val="00373A19"/>
    <w:rsid w:val="00391DBB"/>
    <w:rsid w:val="003C5BD1"/>
    <w:rsid w:val="003F24AB"/>
    <w:rsid w:val="004038E7"/>
    <w:rsid w:val="00413A5C"/>
    <w:rsid w:val="00442602"/>
    <w:rsid w:val="00454EDC"/>
    <w:rsid w:val="004600BD"/>
    <w:rsid w:val="004F028B"/>
    <w:rsid w:val="00543BA2"/>
    <w:rsid w:val="0055295E"/>
    <w:rsid w:val="00560CD6"/>
    <w:rsid w:val="005A77DD"/>
    <w:rsid w:val="005B4BDE"/>
    <w:rsid w:val="005B7C70"/>
    <w:rsid w:val="005D0C9E"/>
    <w:rsid w:val="006032D0"/>
    <w:rsid w:val="00607FCC"/>
    <w:rsid w:val="00611255"/>
    <w:rsid w:val="00631058"/>
    <w:rsid w:val="00631079"/>
    <w:rsid w:val="0065525A"/>
    <w:rsid w:val="0069760A"/>
    <w:rsid w:val="006A38B3"/>
    <w:rsid w:val="006B0282"/>
    <w:rsid w:val="0074225F"/>
    <w:rsid w:val="0075476C"/>
    <w:rsid w:val="007722E3"/>
    <w:rsid w:val="0078465C"/>
    <w:rsid w:val="007851E9"/>
    <w:rsid w:val="00787789"/>
    <w:rsid w:val="007E7476"/>
    <w:rsid w:val="00800F23"/>
    <w:rsid w:val="00821ED2"/>
    <w:rsid w:val="00841C4F"/>
    <w:rsid w:val="0085214A"/>
    <w:rsid w:val="00867F59"/>
    <w:rsid w:val="008878F4"/>
    <w:rsid w:val="008A1F02"/>
    <w:rsid w:val="008D43C5"/>
    <w:rsid w:val="00951485"/>
    <w:rsid w:val="009A4281"/>
    <w:rsid w:val="009A5C1C"/>
    <w:rsid w:val="009B18B8"/>
    <w:rsid w:val="009E574F"/>
    <w:rsid w:val="00A422BD"/>
    <w:rsid w:val="00AA25C0"/>
    <w:rsid w:val="00AA5D44"/>
    <w:rsid w:val="00AC21D5"/>
    <w:rsid w:val="00AC70E2"/>
    <w:rsid w:val="00AE7BAD"/>
    <w:rsid w:val="00B11BC6"/>
    <w:rsid w:val="00B174A3"/>
    <w:rsid w:val="00B36BCB"/>
    <w:rsid w:val="00B63C9D"/>
    <w:rsid w:val="00B67AF6"/>
    <w:rsid w:val="00BA7333"/>
    <w:rsid w:val="00BB16C0"/>
    <w:rsid w:val="00C1223B"/>
    <w:rsid w:val="00C33887"/>
    <w:rsid w:val="00C33B71"/>
    <w:rsid w:val="00C43669"/>
    <w:rsid w:val="00C601C7"/>
    <w:rsid w:val="00C60212"/>
    <w:rsid w:val="00C66F4D"/>
    <w:rsid w:val="00C875F3"/>
    <w:rsid w:val="00C92E24"/>
    <w:rsid w:val="00CB6E2F"/>
    <w:rsid w:val="00D122C4"/>
    <w:rsid w:val="00D1461F"/>
    <w:rsid w:val="00D2238A"/>
    <w:rsid w:val="00D26F4F"/>
    <w:rsid w:val="00D27EF0"/>
    <w:rsid w:val="00D50989"/>
    <w:rsid w:val="00D56535"/>
    <w:rsid w:val="00D6049B"/>
    <w:rsid w:val="00DA7B11"/>
    <w:rsid w:val="00DE5140"/>
    <w:rsid w:val="00E23C9E"/>
    <w:rsid w:val="00E34206"/>
    <w:rsid w:val="00E35DAB"/>
    <w:rsid w:val="00E60358"/>
    <w:rsid w:val="00E82061"/>
    <w:rsid w:val="00E821E7"/>
    <w:rsid w:val="00E90A4D"/>
    <w:rsid w:val="00E96E9C"/>
    <w:rsid w:val="00EA6EFF"/>
    <w:rsid w:val="00EB2B00"/>
    <w:rsid w:val="00F254F9"/>
    <w:rsid w:val="00F27A8A"/>
    <w:rsid w:val="00F71021"/>
    <w:rsid w:val="00F7192F"/>
    <w:rsid w:val="00F81371"/>
    <w:rsid w:val="00F87D5B"/>
    <w:rsid w:val="00F9421E"/>
    <w:rsid w:val="00FB3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6DBDE"/>
  <w15:chartTrackingRefBased/>
  <w15:docId w15:val="{924813A7-2898-49EF-9EA9-E5685DD4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3B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3BA2"/>
  </w:style>
  <w:style w:type="paragraph" w:styleId="Fuzeile">
    <w:name w:val="footer"/>
    <w:basedOn w:val="Standard"/>
    <w:link w:val="FuzeileZchn"/>
    <w:uiPriority w:val="99"/>
    <w:unhideWhenUsed/>
    <w:rsid w:val="00543B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3BA2"/>
  </w:style>
  <w:style w:type="paragraph" w:customStyle="1" w:styleId="Default">
    <w:name w:val="Default"/>
    <w:rsid w:val="00543BA2"/>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AA25C0"/>
    <w:pPr>
      <w:ind w:left="720"/>
      <w:contextualSpacing/>
    </w:pPr>
  </w:style>
  <w:style w:type="paragraph" w:styleId="Sprechblasentext">
    <w:name w:val="Balloon Text"/>
    <w:basedOn w:val="Standard"/>
    <w:link w:val="SprechblasentextZchn"/>
    <w:uiPriority w:val="99"/>
    <w:semiHidden/>
    <w:unhideWhenUsed/>
    <w:rsid w:val="00AC70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70E2"/>
    <w:rPr>
      <w:rFonts w:ascii="Segoe UI" w:hAnsi="Segoe UI" w:cs="Segoe UI"/>
      <w:sz w:val="18"/>
      <w:szCs w:val="18"/>
    </w:rPr>
  </w:style>
  <w:style w:type="paragraph" w:styleId="Funotentext">
    <w:name w:val="footnote text"/>
    <w:basedOn w:val="Standard"/>
    <w:link w:val="FunotentextZchn"/>
    <w:uiPriority w:val="99"/>
    <w:semiHidden/>
    <w:unhideWhenUsed/>
    <w:rsid w:val="006976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9760A"/>
    <w:rPr>
      <w:sz w:val="20"/>
      <w:szCs w:val="20"/>
    </w:rPr>
  </w:style>
  <w:style w:type="character" w:styleId="Funotenzeichen">
    <w:name w:val="footnote reference"/>
    <w:basedOn w:val="Absatz-Standardschriftart"/>
    <w:uiPriority w:val="99"/>
    <w:semiHidden/>
    <w:unhideWhenUsed/>
    <w:rsid w:val="0069760A"/>
    <w:rPr>
      <w:vertAlign w:val="superscript"/>
    </w:rPr>
  </w:style>
  <w:style w:type="character" w:styleId="Hyperlink">
    <w:name w:val="Hyperlink"/>
    <w:basedOn w:val="Absatz-Standardschriftart"/>
    <w:uiPriority w:val="99"/>
    <w:unhideWhenUsed/>
    <w:rsid w:val="0069760A"/>
    <w:rPr>
      <w:color w:val="0563C1" w:themeColor="hyperlink"/>
      <w:u w:val="single"/>
    </w:rPr>
  </w:style>
  <w:style w:type="character" w:styleId="Kommentarzeichen">
    <w:name w:val="annotation reference"/>
    <w:basedOn w:val="Absatz-Standardschriftart"/>
    <w:uiPriority w:val="99"/>
    <w:semiHidden/>
    <w:unhideWhenUsed/>
    <w:rsid w:val="005D0C9E"/>
    <w:rPr>
      <w:sz w:val="16"/>
      <w:szCs w:val="16"/>
    </w:rPr>
  </w:style>
  <w:style w:type="paragraph" w:styleId="Kommentartext">
    <w:name w:val="annotation text"/>
    <w:basedOn w:val="Standard"/>
    <w:link w:val="KommentartextZchn"/>
    <w:uiPriority w:val="99"/>
    <w:semiHidden/>
    <w:unhideWhenUsed/>
    <w:rsid w:val="005D0C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C9E"/>
    <w:rPr>
      <w:sz w:val="20"/>
      <w:szCs w:val="20"/>
    </w:rPr>
  </w:style>
  <w:style w:type="paragraph" w:styleId="Kommentarthema">
    <w:name w:val="annotation subject"/>
    <w:basedOn w:val="Kommentartext"/>
    <w:next w:val="Kommentartext"/>
    <w:link w:val="KommentarthemaZchn"/>
    <w:uiPriority w:val="99"/>
    <w:semiHidden/>
    <w:unhideWhenUsed/>
    <w:rsid w:val="005D0C9E"/>
    <w:rPr>
      <w:b/>
      <w:bCs/>
    </w:rPr>
  </w:style>
  <w:style w:type="character" w:customStyle="1" w:styleId="KommentarthemaZchn">
    <w:name w:val="Kommentarthema Zchn"/>
    <w:basedOn w:val="KommentartextZchn"/>
    <w:link w:val="Kommentarthema"/>
    <w:uiPriority w:val="99"/>
    <w:semiHidden/>
    <w:rsid w:val="005D0C9E"/>
    <w:rPr>
      <w:b/>
      <w:bCs/>
      <w:sz w:val="20"/>
      <w:szCs w:val="20"/>
    </w:rPr>
  </w:style>
  <w:style w:type="character" w:customStyle="1" w:styleId="NichtaufgelsteErwhnung1">
    <w:name w:val="Nicht aufgelöste Erwähnung1"/>
    <w:basedOn w:val="Absatz-Standardschriftart"/>
    <w:uiPriority w:val="99"/>
    <w:semiHidden/>
    <w:unhideWhenUsed/>
    <w:rsid w:val="00AE7BAD"/>
    <w:rPr>
      <w:color w:val="605E5C"/>
      <w:shd w:val="clear" w:color="auto" w:fill="E1DFDD"/>
    </w:rPr>
  </w:style>
  <w:style w:type="paragraph" w:styleId="berarbeitung">
    <w:name w:val="Revision"/>
    <w:hidden/>
    <w:uiPriority w:val="99"/>
    <w:semiHidden/>
    <w:rsid w:val="00BB16C0"/>
    <w:pPr>
      <w:spacing w:after="0" w:line="240" w:lineRule="auto"/>
    </w:pPr>
  </w:style>
  <w:style w:type="character" w:customStyle="1" w:styleId="NichtaufgelsteErwhnung2">
    <w:name w:val="Nicht aufgelöste Erwähnung2"/>
    <w:basedOn w:val="Absatz-Standardschriftart"/>
    <w:uiPriority w:val="99"/>
    <w:semiHidden/>
    <w:unhideWhenUsed/>
    <w:rsid w:val="00E96E9C"/>
    <w:rPr>
      <w:color w:val="605E5C"/>
      <w:shd w:val="clear" w:color="auto" w:fill="E1DFDD"/>
    </w:rPr>
  </w:style>
  <w:style w:type="character" w:styleId="NichtaufgelsteErwhnung">
    <w:name w:val="Unresolved Mention"/>
    <w:basedOn w:val="Absatz-Standardschriftart"/>
    <w:uiPriority w:val="99"/>
    <w:semiHidden/>
    <w:unhideWhenUsed/>
    <w:rsid w:val="000E6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forschung.fu-berli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berlin.de/en/forschung/service/foerderung/fk/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berlin.de/forschung/service/patente-und-lizenzen/media/IP-Leitlinien_PuLS_Version_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DE81-D181-47D3-B1DC-DA912995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Wenske, Dirk</dc:creator>
  <cp:keywords/>
  <dc:description/>
  <cp:lastModifiedBy>Schmidt, Michelle</cp:lastModifiedBy>
  <cp:revision>4</cp:revision>
  <cp:lastPrinted>2023-04-26T08:14:00Z</cp:lastPrinted>
  <dcterms:created xsi:type="dcterms:W3CDTF">2025-07-10T12:45:00Z</dcterms:created>
  <dcterms:modified xsi:type="dcterms:W3CDTF">2025-07-10T14:46:00Z</dcterms:modified>
</cp:coreProperties>
</file>